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8A" w:rsidRPr="00744BB7" w:rsidRDefault="00176A8A" w:rsidP="00744BB7">
      <w:pPr>
        <w:pStyle w:val="bio"/>
      </w:pPr>
      <w:r w:rsidRPr="00744BB7">
        <w:t>A família como construção histórico-cultural</w:t>
      </w:r>
    </w:p>
    <w:p w:rsidR="00AE5E93" w:rsidRPr="00FE5D2E" w:rsidRDefault="00AE5E93" w:rsidP="00AE5E93">
      <w:pPr>
        <w:pStyle w:val="autordata"/>
        <w:rPr>
          <w:lang w:val="pt-BR"/>
        </w:rPr>
      </w:pPr>
    </w:p>
    <w:p w:rsidR="00AE5E93" w:rsidRPr="00FE5D2E" w:rsidRDefault="00AE5E93" w:rsidP="00AE5E93">
      <w:pPr>
        <w:pStyle w:val="autordata"/>
        <w:rPr>
          <w:lang w:val="pt-BR"/>
        </w:rPr>
      </w:pPr>
    </w:p>
    <w:p w:rsidR="00176A8A" w:rsidRDefault="00176A8A" w:rsidP="00176A8A">
      <w:pPr>
        <w:rPr>
          <w:lang w:val="pt-BR"/>
        </w:rPr>
      </w:pPr>
      <w:r w:rsidRPr="00176A8A">
        <w:rPr>
          <w:lang w:val="pt-BR"/>
        </w:rPr>
        <w:t>Os sistemas de parentesco são um componente indissociável da organização política e econômica das sociedades, tendo a família como unidade doméstica básica, reprodutora da organização social. Entretanto, os princípios que regulam o parentesco têm variado historicamente e variam de uma sociedade para outra, bem como de um grupo a outro dentro de uma mesma sociedade. Do mesmo modo, as famílias têm diversas formas e funções em diferentes contextos socioculturais e a própria definição de família tem variado substantivamente ao longo da história de humanidade.</w:t>
      </w:r>
      <w:r w:rsidR="00744BB7">
        <w:rPr>
          <w:lang w:val="pt-BR"/>
        </w:rPr>
        <w:t xml:space="preserve"> </w:t>
      </w:r>
      <w:r w:rsidRPr="00176A8A">
        <w:rPr>
          <w:lang w:val="pt-BR"/>
        </w:rPr>
        <w:t>Além disso, tanto os arranjos familiares possíveis como os próprios modelos de organização familiar dominantes entranham tensões entre diversos valores presentes em cada sociedade e momento histórico.</w:t>
      </w:r>
    </w:p>
    <w:p w:rsidR="00E11DFB" w:rsidRPr="00176A8A" w:rsidRDefault="00E11DFB" w:rsidP="00176A8A">
      <w:pPr>
        <w:rPr>
          <w:lang w:val="pt-BR"/>
        </w:rPr>
      </w:pPr>
    </w:p>
    <w:p w:rsidR="00176A8A" w:rsidRDefault="00176A8A" w:rsidP="00176A8A">
      <w:pPr>
        <w:rPr>
          <w:lang w:val="pt-BR"/>
        </w:rPr>
      </w:pPr>
      <w:r w:rsidRPr="00176A8A">
        <w:rPr>
          <w:lang w:val="pt-BR"/>
        </w:rPr>
        <w:t>O modelo moderno de família conjugal como âmbito íntimo de mútuo cuidado e de socialização das crianças se consolida como norma nas sociedades ocidentais apenas no século XIX e na virada do Século XX. A função social do seu imediato predecessor, o casamento aristocrático e burguês, baseado no acordo entre famílias, era a manutenção do patrimônio e a perpetuação de uma linhagem. Já no Século XIX, passa a ser valorizada a</w:t>
      </w:r>
      <w:r w:rsidR="00744BB7">
        <w:rPr>
          <w:lang w:val="pt-BR"/>
        </w:rPr>
        <w:t xml:space="preserve"> </w:t>
      </w:r>
      <w:r w:rsidRPr="00176A8A">
        <w:rPr>
          <w:lang w:val="pt-BR"/>
        </w:rPr>
        <w:t>intimidade conjugal, aliada ao ideal do amor romântico e ao cultivo intensivo dos laços filiais. Nos projetos políticos dos estados nacionais que emergem e se consolidam durante o período, caberá</w:t>
      </w:r>
      <w:r w:rsidR="00744BB7">
        <w:rPr>
          <w:lang w:val="pt-BR"/>
        </w:rPr>
        <w:t xml:space="preserve"> </w:t>
      </w:r>
      <w:r w:rsidRPr="00176A8A">
        <w:rPr>
          <w:lang w:val="pt-BR"/>
        </w:rPr>
        <w:t>primordialmente aos pais a transmissão das tradições culturais para as novas gerações.</w:t>
      </w:r>
    </w:p>
    <w:p w:rsidR="00E11DFB" w:rsidRPr="00176A8A" w:rsidRDefault="00E11DFB" w:rsidP="00176A8A">
      <w:pPr>
        <w:rPr>
          <w:color w:val="FF0000"/>
          <w:lang w:val="pt-BR"/>
        </w:rPr>
      </w:pPr>
    </w:p>
    <w:p w:rsidR="00176A8A" w:rsidRDefault="00176A8A" w:rsidP="00176A8A">
      <w:pPr>
        <w:rPr>
          <w:lang w:val="pt-BR"/>
        </w:rPr>
      </w:pPr>
      <w:r w:rsidRPr="00176A8A">
        <w:rPr>
          <w:lang w:val="pt-BR"/>
        </w:rPr>
        <w:t>É na esteira desses processos singulares vai sendo modelada a noção de uma família “tradicional”, como “base da sociedade” ou, ainda, como unidade “natural” de reprodução, tanto da sociedade como da própria espécie. Entretanto, essa “família nuclear” é fruto também de um processo de individuação e emancipação de estruturas hierárquicas mais alargadas, o que a coloca em tensão com outros ideais modernos. Passa a ser privilegiada a mútua escolha dos parceiros e a independência do casal a respeito das respectivas linhagens. Posteriormente, as lutas dos movimentos feministas e o acesso das mulheres ao trabalho remunerado e à representação política, bem como sua emancipação civil, imprimirão um sentido particular a essa liberdade de escolha.</w:t>
      </w:r>
    </w:p>
    <w:p w:rsidR="00E11DFB" w:rsidRPr="00176A8A" w:rsidRDefault="00E11DFB" w:rsidP="00176A8A">
      <w:pPr>
        <w:rPr>
          <w:lang w:val="pt-BR"/>
        </w:rPr>
      </w:pPr>
    </w:p>
    <w:p w:rsidR="00176A8A" w:rsidRDefault="00176A8A" w:rsidP="00176A8A">
      <w:pPr>
        <w:rPr>
          <w:lang w:val="pt-BR"/>
        </w:rPr>
      </w:pPr>
      <w:r w:rsidRPr="00176A8A">
        <w:rPr>
          <w:lang w:val="pt-BR"/>
        </w:rPr>
        <w:t xml:space="preserve">O igualitarismo moderno se manifesta em reformas civis que reconhecem direitos inalienáveis do indivíduo em relação à unidade familiar; em particular da esposa e dos filhos não primogênitos e extramaritais. O processo de secularização possibilita também o fim da indissolubilidade das uniões matrimoniais, instituída pela Lei Canônica. Concomitantemente, avanços da tecnologia médica aprofundam a </w:t>
      </w:r>
      <w:r w:rsidRPr="00176A8A">
        <w:rPr>
          <w:lang w:val="pt-BR"/>
        </w:rPr>
        <w:lastRenderedPageBreak/>
        <w:t>possibilidade de separação entre sexualidade e reprodução, reforçando o ideário do casamento e a criação de filhos biológicos ou adotivos como livre escolha individual, fruto de mútuos sentimentos de amor.</w:t>
      </w:r>
    </w:p>
    <w:p w:rsidR="00E11DFB" w:rsidRPr="00176A8A" w:rsidRDefault="00E11DFB" w:rsidP="00176A8A">
      <w:pPr>
        <w:rPr>
          <w:lang w:val="pt-BR"/>
        </w:rPr>
      </w:pPr>
    </w:p>
    <w:p w:rsidR="00176A8A" w:rsidRDefault="00176A8A" w:rsidP="00176A8A">
      <w:pPr>
        <w:rPr>
          <w:lang w:val="pt-BR"/>
        </w:rPr>
      </w:pPr>
      <w:r w:rsidRPr="00176A8A">
        <w:rPr>
          <w:lang w:val="pt-BR"/>
        </w:rPr>
        <w:t>A própria noção de “família tradicional” é, portanto, um ideal moldado por valores próprios da Modernidade.Existiram ao longo da história e existem em diferentes sociedades diferentes modelos de família e são viáveis e socialmente aceitos diversos arranjos familiares, fruto da infinita criatividade humana. Nas sociedades contemporâneas existem inúmeras formas de família, reconhecidas ou não legalmente: famílias monoparentais; famílias aparentais (conformadas por menores e seus avôs, tios e outros); famílias reconstituídas(de casais com filhos de uniões anteriores); casais do mesmo sexo (com ou sem filhos biológicos ou adotivos).</w:t>
      </w:r>
      <w:r w:rsidRPr="00A353AE">
        <w:rPr>
          <w:rStyle w:val="Refdenotaderodap"/>
          <w:rFonts w:ascii="Times New Roman" w:hAnsi="Times New Roman" w:cs="Times New Roman"/>
        </w:rPr>
        <w:footnoteReference w:id="2"/>
      </w:r>
      <w:r w:rsidRPr="00176A8A">
        <w:rPr>
          <w:lang w:val="pt-BR"/>
        </w:rPr>
        <w:t xml:space="preserve"> Do mesmo modo, assim como diversas formas de adoção fazem parte integral da diversidade familiar, tecnologias reprodutivas como a inseminação in-vitro e a gestação por substituição têm expandido as possibilidades de reprodução biológica, desafiando a noção de uma associação necessária entre fecundação, gestação e parentalidade. Existem, portanto, além dos diversos valores envolvidos nesses processos, diversos modos legítimos de tradução dos ideais familiares vigentes em uma determinada sociedade e período histórico.</w:t>
      </w:r>
    </w:p>
    <w:p w:rsidR="00E11DFB" w:rsidRPr="00176A8A" w:rsidRDefault="00E11DFB" w:rsidP="00176A8A">
      <w:pPr>
        <w:rPr>
          <w:lang w:val="pt-BR"/>
        </w:rPr>
      </w:pPr>
    </w:p>
    <w:p w:rsidR="00176A8A" w:rsidRDefault="00176A8A" w:rsidP="00176A8A">
      <w:pPr>
        <w:rPr>
          <w:b/>
          <w:lang w:val="pt-BR"/>
        </w:rPr>
      </w:pPr>
      <w:r w:rsidRPr="00176A8A">
        <w:rPr>
          <w:b/>
          <w:lang w:val="pt-BR"/>
        </w:rPr>
        <w:t>Família brasileiras: aspecto sócio-demográficos</w:t>
      </w:r>
    </w:p>
    <w:p w:rsidR="00744BB7" w:rsidRPr="00176A8A" w:rsidRDefault="00744BB7" w:rsidP="00176A8A">
      <w:pPr>
        <w:rPr>
          <w:b/>
          <w:lang w:val="pt-BR"/>
        </w:rPr>
      </w:pPr>
    </w:p>
    <w:p w:rsidR="00176A8A" w:rsidRDefault="00176A8A" w:rsidP="00176A8A">
      <w:pPr>
        <w:rPr>
          <w:lang w:val="pt-BR"/>
        </w:rPr>
      </w:pPr>
      <w:r w:rsidRPr="00176A8A">
        <w:rPr>
          <w:lang w:val="pt-BR"/>
        </w:rPr>
        <w:t>Em termos das dinâmicas populacionais, as grandes transformações econômicas e sociais trazidas pela industrialização e urbanização levaram, nas últimas décadas, a um importante aumento da mobilidade ocupacional, espacial e social. Nos países onde ocorreu a transição demográfica, esta contribuiu a reduziu as taxas de mortalidade infantil, a reduzir as taxas de fecundidade e a aumentar a esperança de vida, elevando a proporção de idosos. Houve também mudanças nas relações de gênero, com um lento, mas contínuo processo de ‘despatriarcalização’ da sociedade. Estas transformações tiveram um grande impacto sobre modelos familiares e sobre as relações de afeto e cuidado que estruturam os arranjos domiciliares. As famílias estão ficando menores, mas, principalmente, estão ficando mais plurais e diversificadas.</w:t>
      </w:r>
    </w:p>
    <w:p w:rsidR="00E11DFB" w:rsidRPr="00176A8A" w:rsidRDefault="00E11DFB" w:rsidP="00176A8A">
      <w:pPr>
        <w:rPr>
          <w:lang w:val="pt-BR"/>
        </w:rPr>
      </w:pPr>
    </w:p>
    <w:p w:rsidR="00176A8A" w:rsidRDefault="00176A8A" w:rsidP="00176A8A">
      <w:pPr>
        <w:rPr>
          <w:lang w:val="pt-BR"/>
        </w:rPr>
      </w:pPr>
      <w:r w:rsidRPr="00176A8A">
        <w:rPr>
          <w:lang w:val="pt-BR"/>
        </w:rPr>
        <w:t>A sociedade brasileira mudou em termos demográficos e na composição plural das relações familiares. Os diferenciais de gênero e de geração são fundamentais para se compreender a complexidade e a diversidade das relações familiares do Brasil contemporâneo. Os censos nacionais brasileiros indicam a tendência à queda da participação relativa de casais com filhos (de 65% em 1980 para 52,5% em 2010) no conjunto dos arranjos domiciliares, devido à queda da fecundidade, ao número de separações e à maior esperança de vida, especialmente das mulheres. Aumentou a proporção de casais sem filhos (de 12,1% em 1980 para 15,1% em 2010) e de arranjos monoparentais, principalmente de mães (solteiras, separadas ou viúvas) com filhos, que passou de 11,5% em 1980 para 15,3% em 2010.</w:t>
      </w:r>
    </w:p>
    <w:p w:rsidR="00744BB7" w:rsidRPr="00176A8A" w:rsidRDefault="00744BB7" w:rsidP="00176A8A">
      <w:pPr>
        <w:rPr>
          <w:lang w:val="pt-BR"/>
        </w:rPr>
      </w:pPr>
    </w:p>
    <w:p w:rsidR="00176A8A" w:rsidRDefault="00176A8A" w:rsidP="00176A8A">
      <w:pPr>
        <w:rPr>
          <w:lang w:val="pt-BR"/>
        </w:rPr>
      </w:pPr>
      <w:r w:rsidRPr="00176A8A">
        <w:rPr>
          <w:lang w:val="pt-BR"/>
        </w:rPr>
        <w:t>O casamento é praticamente um evento universal no Brasil, mas somente se considerarmos todos os tipos de matrimônio. Entre 1970 e 2010, os casamentos civis e religiosos caíram de 65% para 43% e os só religiosos de 14% para 3%, enquanto os somente civis aumentaram de 14% para 17% e as uniões consensuais subiram de 7% para 37%. Os casamentos, no entanto, ficaram mais instáveis. O aumento das separações e dos divórcios gera as já mencionadas famílias reconstituídas, cujos membros trazem para a nova união os filhos de casamentos anteriores, que são cada vez mais frequentes no cenário nacional.</w:t>
      </w:r>
    </w:p>
    <w:p w:rsidR="00744BB7" w:rsidRPr="00176A8A" w:rsidRDefault="00744BB7" w:rsidP="00176A8A">
      <w:pPr>
        <w:rPr>
          <w:lang w:val="pt-BR"/>
        </w:rPr>
      </w:pPr>
    </w:p>
    <w:p w:rsidR="00176A8A" w:rsidRDefault="00176A8A" w:rsidP="00176A8A">
      <w:pPr>
        <w:rPr>
          <w:lang w:val="pt-BR"/>
        </w:rPr>
      </w:pPr>
      <w:r w:rsidRPr="00176A8A">
        <w:rPr>
          <w:lang w:val="pt-BR"/>
        </w:rPr>
        <w:t xml:space="preserve">Essa “família-mosaico” é apenas mais um tipo de arranjo familiar entre o leque de arranjos possíveis em uma sociedade cada vez mais marcada pela pluralidade e por dinâmicas inovadoras que vão além de qualquer modelo padrão, como as famílias homoafetivas (formadas por um casal do mesmo sexo) e as famílias poliafetivas (cujo núcleo não é um casal monogâmico). Cresceu também o número de filhos nascidos fora do casamento (inclusive a gravidez na adolescência). Aumentou a guarda compartilhada e o número de crianças que vivem em duas casas. </w:t>
      </w:r>
    </w:p>
    <w:p w:rsidR="00E11DFB" w:rsidRPr="00176A8A" w:rsidRDefault="00E11DFB" w:rsidP="00176A8A">
      <w:pPr>
        <w:rPr>
          <w:lang w:val="pt-BR"/>
        </w:rPr>
      </w:pPr>
    </w:p>
    <w:p w:rsidR="00176A8A" w:rsidRDefault="00176A8A" w:rsidP="00176A8A">
      <w:pPr>
        <w:rPr>
          <w:lang w:val="pt-BR"/>
        </w:rPr>
      </w:pPr>
      <w:r w:rsidRPr="00176A8A">
        <w:rPr>
          <w:lang w:val="pt-BR"/>
        </w:rPr>
        <w:t xml:space="preserve">O Censo 2010 do IBGE pela primeira vez, considerou os casais do mesmo sexo, que moram no mesmo domicilio, como um núcleo familiar. Os dados indicaram a presença de cerca de sessentamil casais formados por pessoas do mesmo sexo (sem considerar os casais moram em casas diferentes ou aqueles onde nenhum deles se declarou chefe da unidade doméstica). As mulheres são maioria nos arranjos homoafetivos declarados e também na homoparentalidade. Já existem crianças </w:t>
      </w:r>
      <w:r w:rsidR="00744BB7">
        <w:rPr>
          <w:lang w:val="pt-BR"/>
        </w:rPr>
        <w:t xml:space="preserve">com dupla maternidade ou </w:t>
      </w:r>
      <w:r w:rsidRPr="00176A8A">
        <w:rPr>
          <w:lang w:val="pt-BR"/>
        </w:rPr>
        <w:t>dupla paternidade.</w:t>
      </w:r>
      <w:r w:rsidRPr="00A353AE">
        <w:rPr>
          <w:rStyle w:val="Refdenotaderodap"/>
          <w:rFonts w:ascii="Times New Roman" w:hAnsi="Times New Roman" w:cs="Times New Roman"/>
        </w:rPr>
        <w:footnoteReference w:id="3"/>
      </w:r>
    </w:p>
    <w:p w:rsidR="00744BB7" w:rsidRPr="00176A8A" w:rsidRDefault="00744BB7" w:rsidP="00176A8A">
      <w:pPr>
        <w:rPr>
          <w:color w:val="FF0000"/>
          <w:lang w:val="pt-BR"/>
        </w:rPr>
      </w:pPr>
    </w:p>
    <w:p w:rsidR="00176A8A" w:rsidRDefault="00176A8A" w:rsidP="00176A8A">
      <w:pPr>
        <w:rPr>
          <w:b/>
          <w:lang w:val="pt-BR"/>
        </w:rPr>
      </w:pPr>
      <w:r w:rsidRPr="00176A8A">
        <w:rPr>
          <w:b/>
          <w:lang w:val="pt-BR"/>
        </w:rPr>
        <w:t>Normatização legal brasileira</w:t>
      </w:r>
    </w:p>
    <w:p w:rsidR="00744BB7" w:rsidRPr="00176A8A" w:rsidRDefault="00744BB7" w:rsidP="00176A8A">
      <w:pPr>
        <w:rPr>
          <w:b/>
          <w:lang w:val="pt-BR"/>
        </w:rPr>
      </w:pPr>
    </w:p>
    <w:p w:rsidR="00176A8A" w:rsidRPr="00176A8A" w:rsidRDefault="00176A8A" w:rsidP="00176A8A">
      <w:pPr>
        <w:rPr>
          <w:lang w:val="pt-BR"/>
        </w:rPr>
      </w:pPr>
      <w:r w:rsidRPr="00176A8A">
        <w:rPr>
          <w:lang w:val="pt-BR"/>
        </w:rPr>
        <w:t xml:space="preserve">Em sintonia com as transformações económicas e culturais analisadas acima, a partir dos anos 1960 as leis brasileiras relativas a família foram gradativamente reformadas para se ajustar a premissas de respeito aos direitos individuais, à privacidade e à pluralidade. Para avaliar o significado dessas reformas legais contemporâneas é  salutar situá-las em relação ao ciclo histórico mais longo. </w:t>
      </w:r>
    </w:p>
    <w:p w:rsidR="00176A8A" w:rsidRDefault="00176A8A" w:rsidP="00176A8A">
      <w:pPr>
        <w:rPr>
          <w:lang w:val="pt-BR"/>
        </w:rPr>
      </w:pPr>
      <w:r w:rsidRPr="00176A8A">
        <w:rPr>
          <w:lang w:val="pt-BR"/>
        </w:rPr>
        <w:t xml:space="preserve">Desde a colônia, um tema central nos debates morais e normativos da formação da sociedade brasileira foi a união de fato, ou concubinato. As Ordenações Filipinas que regulavam a vida na colônia reconheciam a união de fato de pessoas vivendo como marido e mulher ‘desde </w:t>
      </w:r>
      <w:r w:rsidR="00744BB7">
        <w:rPr>
          <w:lang w:val="pt-BR"/>
        </w:rPr>
        <w:t xml:space="preserve">reconhecidos pela comunidade’, </w:t>
      </w:r>
      <w:r w:rsidRPr="00176A8A">
        <w:rPr>
          <w:lang w:val="pt-BR"/>
        </w:rPr>
        <w:t xml:space="preserve">ao mesmo tempo em que puniam rigorosamente o adultério (em particular das mulheres), a bigamia e poligamia.  O casamento, por sua vez, era um ato religioso regulado pelo direito canónico. </w:t>
      </w:r>
    </w:p>
    <w:p w:rsidR="00E11DFB" w:rsidRPr="00176A8A" w:rsidRDefault="00E11DFB" w:rsidP="00176A8A">
      <w:pPr>
        <w:rPr>
          <w:lang w:val="pt-BR"/>
        </w:rPr>
      </w:pPr>
    </w:p>
    <w:p w:rsidR="00176A8A" w:rsidRDefault="00176A8A" w:rsidP="00176A8A">
      <w:pPr>
        <w:rPr>
          <w:lang w:val="pt-BR"/>
        </w:rPr>
      </w:pPr>
      <w:r w:rsidRPr="00176A8A">
        <w:rPr>
          <w:lang w:val="pt-BR"/>
        </w:rPr>
        <w:t xml:space="preserve">Após a independência cabe registrar, sobretudo as convergências, mas também distinções entre o Império e a República no que diz respeito às leis da família. Os códigos penais de ambos os regimes puniam práticas que desestabilizavam a ‘ordem familiar’, especialmente o adultério, mas também a sexualidade adolescente e o aborto. Entretanto, durante o Império, a despeito da forte adesão dos legisladores aos princípios liberais, o casamento permaneceu regulado pela Lei Canônica, assim como foi também preservada a escravidão e a definição da nova nação imperial como um estado Católico.Em 1861, adotou-se lei ordinária possibilitando o casamento inter-religioso, mas o casamento civil como norma legal universal só seria aprovado após a proclamação da República (1890). </w:t>
      </w:r>
    </w:p>
    <w:p w:rsidR="00744BB7" w:rsidRPr="00176A8A" w:rsidRDefault="00744BB7" w:rsidP="00176A8A">
      <w:pPr>
        <w:rPr>
          <w:lang w:val="pt-BR"/>
        </w:rPr>
      </w:pPr>
    </w:p>
    <w:p w:rsidR="00176A8A" w:rsidRPr="00176A8A" w:rsidRDefault="00176A8A" w:rsidP="00176A8A">
      <w:pPr>
        <w:rPr>
          <w:rFonts w:eastAsia="Times New Roman"/>
          <w:color w:val="000000"/>
          <w:lang w:val="pt-BR"/>
        </w:rPr>
      </w:pPr>
      <w:r w:rsidRPr="00176A8A">
        <w:rPr>
          <w:lang w:val="pt-BR"/>
        </w:rPr>
        <w:t xml:space="preserve">O primeiro código civil brasileiro, finalmente lavrado em 1916, embora preservando essa definição, não se pautava, contudo, pelos direitos individuais ou pela igualdade no que diz respeito à regulação das famílias. O Código estabeleceu flagrante hierarquia entre o homem (marido e pai) e demais membros da família, condenando o adultério e preservando normas arcaicas como a que possibilitava ao marido devolver a noiva que não houvesse preservado a virgindade até o casamento. O texto reconhecia </w:t>
      </w:r>
      <w:r w:rsidRPr="00176A8A">
        <w:rPr>
          <w:rFonts w:eastAsia="Times New Roman"/>
          <w:color w:val="000000"/>
          <w:lang w:val="pt-BR"/>
        </w:rPr>
        <w:t xml:space="preserve">as uniões de fato, mas para impor às mesmas restrições legais como, por exemplo, impedir acesso a herança e pensões. </w:t>
      </w:r>
    </w:p>
    <w:p w:rsidR="00176A8A" w:rsidRDefault="00176A8A" w:rsidP="00176A8A">
      <w:pPr>
        <w:rPr>
          <w:rFonts w:eastAsia="Times New Roman"/>
          <w:color w:val="000000"/>
          <w:lang w:val="pt-BR"/>
        </w:rPr>
      </w:pPr>
      <w:r w:rsidRPr="00176A8A">
        <w:rPr>
          <w:rFonts w:eastAsia="Times New Roman"/>
          <w:color w:val="000000"/>
          <w:lang w:val="pt-BR"/>
        </w:rPr>
        <w:t>Entre 1916 e 1988, em especial a partir dos anos 1960, novas normas foram adotadas visando corrigir essas disparidades entre a família legal e a ‘família ilegal’: o Estatuto da Mulher Casada (1962): regras da Previdência Social relativas aos direitos das concubinas à pensão; Súmula 380 (1964) do STF, segundo a qual “</w:t>
      </w:r>
      <w:r w:rsidRPr="00176A8A">
        <w:rPr>
          <w:rFonts w:eastAsia="Times New Roman"/>
          <w:i/>
          <w:color w:val="000000"/>
          <w:lang w:val="pt-BR"/>
        </w:rPr>
        <w:t>Comprovada a existência de sociedade de fato entre os concubinos, é cabível a sua dissolução judicial, com a partilha do patrimônio adquirido pelo esforço comum</w:t>
      </w:r>
      <w:r w:rsidRPr="00176A8A">
        <w:rPr>
          <w:rFonts w:eastAsia="Times New Roman"/>
          <w:color w:val="000000"/>
          <w:lang w:val="pt-BR"/>
        </w:rPr>
        <w:t>”; e, mais especialmente,  a Lei do Divórcio de 1977.</w:t>
      </w:r>
    </w:p>
    <w:p w:rsidR="00744BB7" w:rsidRPr="00176A8A" w:rsidRDefault="00744BB7" w:rsidP="00176A8A">
      <w:pPr>
        <w:rPr>
          <w:i/>
          <w:color w:val="333333"/>
          <w:lang w:val="pt-BR"/>
        </w:rPr>
      </w:pPr>
    </w:p>
    <w:p w:rsidR="00176A8A" w:rsidRDefault="00176A8A" w:rsidP="00176A8A">
      <w:pPr>
        <w:rPr>
          <w:rFonts w:eastAsia="Times New Roman"/>
          <w:color w:val="000000"/>
          <w:lang w:val="pt-BR"/>
        </w:rPr>
      </w:pPr>
      <w:r w:rsidRPr="00176A8A">
        <w:rPr>
          <w:rFonts w:eastAsia="Times New Roman"/>
          <w:color w:val="000000"/>
          <w:lang w:val="pt-BR"/>
        </w:rPr>
        <w:t>O Estatuto da Mulher Casada alterou o Código de 1916 para restringir o poder absoluto do marido/chefe de família e modificar outras definições, inclusive o artigo 6º que atestava a incapacidade feminina para vários atos. A Lei do Divórcio, por sua vez, foi aprovada em 1977 por emenda constitucional, encerrando uma prolongada luta jurídica e política pelo direito à dissolução do casamento iniciada em 1900. A difícil trajetória do debate sobre o divórcio é explicada, em grande medida, pela forte influência da Igreja Católica sobre legisladores. Mas também ilustra a forte vinculação entre autoritarismo político e a premissa de indissolubilidade matrimonial, pois normas para assegurá-la foram inscritas na Constituição de 1937, que inaugurou o chamado Estado Novo, e de 1967, que estabeleceu os marcos jurídicos gerais da ditadura militar (1964-1985).</w:t>
      </w:r>
    </w:p>
    <w:p w:rsidR="00744BB7" w:rsidRPr="00176A8A" w:rsidRDefault="00744BB7"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O grande salto normativo sobre a questão das famílias seria, porém, resultado da Constituição Federal de 1988,</w:t>
      </w:r>
      <w:r w:rsidR="00744BB7">
        <w:rPr>
          <w:rFonts w:eastAsia="Times New Roman"/>
          <w:lang w:val="pt-BR"/>
        </w:rPr>
        <w:t xml:space="preserve"> </w:t>
      </w:r>
      <w:r w:rsidRPr="00176A8A">
        <w:rPr>
          <w:rFonts w:eastAsia="Times New Roman"/>
          <w:lang w:val="pt-BR"/>
        </w:rPr>
        <w:t>que reconheceu expressamente a união estável entre homem e mulher como entidade familiar, eliminando definitivamente da lei o termo concubinato. Após a Constituição, a matéria seria tratada várias outras leis ordinárias.Por exemplo, em 1989, a Lei 7841 revogou o art. 38 da Lei do Divórcio (1977), eliminando a restrição à possibilidade de divórcios sucessivos. Em 1994, a Lei 8.971 conceituou a união estável como a união de pessoas solteiras, separadas judicialmente, divorciadas ou viúvas, que convivam por mais de 5 anos ou que tenha filhos comuns. Mais tarde, a Lei 9.278,</w:t>
      </w:r>
      <w:r w:rsidR="00744BB7">
        <w:rPr>
          <w:rFonts w:eastAsia="Times New Roman"/>
          <w:lang w:val="pt-BR"/>
        </w:rPr>
        <w:t xml:space="preserve"> </w:t>
      </w:r>
      <w:r w:rsidRPr="00176A8A">
        <w:rPr>
          <w:rFonts w:eastAsia="Times New Roman"/>
          <w:lang w:val="pt-BR"/>
        </w:rPr>
        <w:t>de 1996,</w:t>
      </w:r>
      <w:r w:rsidR="00744BB7">
        <w:rPr>
          <w:rFonts w:eastAsia="Times New Roman"/>
          <w:lang w:val="pt-BR"/>
        </w:rPr>
        <w:t xml:space="preserve"> </w:t>
      </w:r>
      <w:r w:rsidRPr="00176A8A">
        <w:rPr>
          <w:rFonts w:eastAsia="Times New Roman"/>
          <w:lang w:val="pt-BR"/>
        </w:rPr>
        <w:t>retirou o prazo de duração da relação, bem como o estado civil das partes e indicou como requisitos das uniões: a durabilidade e publicidade do relacionamento e objetivo de constitui</w:t>
      </w:r>
      <w:r w:rsidR="00E11DFB">
        <w:rPr>
          <w:rFonts w:eastAsia="Times New Roman"/>
          <w:lang w:val="pt-BR"/>
        </w:rPr>
        <w:t>r família. O novo Código Civil,</w:t>
      </w:r>
      <w:r w:rsidRPr="00176A8A">
        <w:rPr>
          <w:rFonts w:eastAsia="Times New Roman"/>
          <w:lang w:val="pt-BR"/>
        </w:rPr>
        <w:t xml:space="preserve"> finalmente aprovado em 2002, praticamente reproduz o que consta da lei de 1996, acrescentando, entretanto, o requisito de não existência de impedimento matrimonial, exceto no caso de pessoas separadas de fato ou judicialmente (artigo 1723). Em 2007, a Lei 11441 determinou que o divórcio e a separação consensuais podem ser requeridos por via administrativa, dispensando a necessidade de ação judicial. </w:t>
      </w:r>
    </w:p>
    <w:p w:rsidR="00E11DFB" w:rsidRPr="00176A8A" w:rsidRDefault="00E11DFB"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Um passo ainda mais substantivo no sentido de reconhecimento jurídico da diversidade das famílias brasileira foi a decisão emitida pelo Supremo Tribunal Federal em 5 de maio de 2011, segundo a qual a constituição não impede o reconhecimento da união entre pessoas do mesmo sexo como entidade familiar. Segundo o relator Ministro Alves Brito,  o artigo 3º, inciso IV, da Constituição Federal de 1988 veda qualquer discriminação em virtude de sexo, raça, cor e que, nesse sentido, ninguém pode ser diminuído ou discriminado em função de sua preferência sexual. Segundo ele: “O sexo das pessoas, salvo disposição contrária, não se presta para desigualdade jurídica. ”</w:t>
      </w:r>
      <w:r w:rsidRPr="00A353AE">
        <w:footnoteReference w:id="4"/>
      </w:r>
    </w:p>
    <w:p w:rsidR="00E11DFB" w:rsidRPr="00176A8A" w:rsidRDefault="00E11DFB"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 xml:space="preserve">Dois anos mais tarde, em 14 de maio de 2013, Conselho nacional de Justiça, órgão regulador do Judiciário Brasileiro aprovou resolução que obriga todos os cartórios do país a celebrar casamentos entre pessoas do mesmo sexo. </w:t>
      </w:r>
      <w:r w:rsidRPr="00A353AE">
        <w:footnoteReference w:id="5"/>
      </w:r>
      <w:r w:rsidRPr="00176A8A">
        <w:rPr>
          <w:rFonts w:eastAsia="Times New Roman"/>
          <w:lang w:val="pt-BR"/>
        </w:rPr>
        <w:t>Nessa oportunidade o presidente do Conselho afirmou que a resolução remove “obstáculos administrativos à efetivação” da decisão do Supremo, em 2011. Desde então mais de 3.000 casamentos civis entre pessoas do mesmo sexo foram realizados no Brasil. Finalmente, mas não menos importante, essas transformações legais têm possibilitado o estabelecimento notarial de contratos de união civil entre mais de duas pessoas.</w:t>
      </w:r>
      <w:r w:rsidRPr="00A353AE">
        <w:footnoteReference w:id="6"/>
      </w:r>
    </w:p>
    <w:p w:rsidR="00E11DFB" w:rsidRPr="00176A8A" w:rsidRDefault="00E11DFB" w:rsidP="00176A8A">
      <w:pPr>
        <w:rPr>
          <w:vertAlign w:val="superscript"/>
          <w:lang w:val="pt-BR"/>
        </w:rPr>
      </w:pPr>
    </w:p>
    <w:p w:rsidR="00176A8A" w:rsidRPr="00176A8A" w:rsidRDefault="00176A8A" w:rsidP="00176A8A">
      <w:pPr>
        <w:rPr>
          <w:rFonts w:eastAsia="Times New Roman"/>
          <w:color w:val="222222"/>
          <w:lang w:val="pt-BR" w:eastAsia="pt-BR"/>
        </w:rPr>
      </w:pPr>
      <w:r w:rsidRPr="00176A8A">
        <w:rPr>
          <w:rFonts w:eastAsia="Times New Roman"/>
          <w:b/>
          <w:bCs/>
          <w:color w:val="222222"/>
          <w:lang w:val="pt-BR" w:eastAsia="pt-BR"/>
        </w:rPr>
        <w:t>Arcabouço das normas internacionais</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xml:space="preserve">A mudança do arcabouço legal brasileiro relativo à formação das famílias, como descrito anteriormente, está em consonância com definições elaboradas há algumas décadas, as quais reconhecem que diferentes configurações/arranjos familiares existem e são uma realidade em muitos países. Consoante a esse entendimento, instrumentos legais internacionais também estabeleceram que </w:t>
      </w:r>
      <w:r w:rsidRPr="00176A8A">
        <w:rPr>
          <w:rFonts w:eastAsia="Times New Roman"/>
          <w:b/>
          <w:bCs/>
          <w:color w:val="222222"/>
          <w:lang w:val="pt-BR" w:eastAsia="pt-BR"/>
        </w:rPr>
        <w:t>nenhuma família deve ser submetida à discriminação baseada na orientação sexual ou identidade de gênero de qualquer de seus membros</w:t>
      </w:r>
      <w:r w:rsidRPr="00176A8A">
        <w:rPr>
          <w:rFonts w:eastAsia="Times New Roman"/>
          <w:color w:val="222222"/>
          <w:lang w:val="pt-BR" w:eastAsia="pt-BR"/>
        </w:rPr>
        <w:t>. Conforme mencionado acima, os arranjos familiares incluem (mas não se limitam a): monoparentalidade, casais do mesmo sexo, casais "tradicionais" separados, </w:t>
      </w:r>
      <w:r w:rsidRPr="00176A8A">
        <w:rPr>
          <w:rFonts w:eastAsia="Times New Roman"/>
          <w:b/>
          <w:bCs/>
          <w:color w:val="222222"/>
          <w:lang w:val="pt-BR" w:eastAsia="pt-BR"/>
        </w:rPr>
        <w:t>casais em que os pares vivem em locais diferentes,</w:t>
      </w:r>
      <w:r w:rsidR="00744BB7">
        <w:rPr>
          <w:rFonts w:eastAsia="Times New Roman"/>
          <w:b/>
          <w:bCs/>
          <w:color w:val="222222"/>
          <w:lang w:val="pt-BR" w:eastAsia="pt-BR"/>
        </w:rPr>
        <w:t xml:space="preserve"> </w:t>
      </w:r>
      <w:r w:rsidRPr="00176A8A">
        <w:rPr>
          <w:rFonts w:eastAsia="Times New Roman"/>
          <w:color w:val="222222"/>
          <w:lang w:val="pt-BR" w:eastAsia="pt-BR"/>
        </w:rPr>
        <w:t>famílias </w:t>
      </w:r>
      <w:r w:rsidRPr="00176A8A">
        <w:rPr>
          <w:rFonts w:eastAsia="Times New Roman"/>
          <w:b/>
          <w:bCs/>
          <w:color w:val="222222"/>
          <w:lang w:val="pt-BR" w:eastAsia="pt-BR"/>
        </w:rPr>
        <w:t>chefiadas por mulheres ou por  crianças</w:t>
      </w:r>
      <w:r w:rsidRPr="00176A8A">
        <w:rPr>
          <w:rFonts w:eastAsia="Times New Roman"/>
          <w:color w:val="222222"/>
          <w:lang w:val="pt-BR" w:eastAsia="pt-BR"/>
        </w:rPr>
        <w:t>, divorciados, união estável, pais de criação, avós que criam seus netos, casais sem filhos, casais  migrantes, famílias extensas e famílias LGBTQI, .</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w:t>
      </w:r>
    </w:p>
    <w:p w:rsidR="00176A8A" w:rsidRDefault="00176A8A" w:rsidP="00176A8A">
      <w:pPr>
        <w:rPr>
          <w:rFonts w:eastAsia="Times New Roman"/>
          <w:lang w:val="pt-BR" w:eastAsia="pt-BR"/>
        </w:rPr>
      </w:pPr>
      <w:r w:rsidRPr="00E11DFB">
        <w:rPr>
          <w:rFonts w:eastAsia="Times New Roman"/>
          <w:lang w:val="pt-BR" w:eastAsia="pt-BR"/>
        </w:rPr>
        <w:t>Estratégias e políticas sejam desenvolvidas baseadas em dados disponíveis e guiadas por fatos como resposta às realidades e diversas necessidades e desafios enfrentados pelas famílias, a fim de respeitar, proteger e entender os direitos de todos os seus membros, como colocado no Programa de Ação da CIPD, com particular atenção às famílias em situação de vulnerabilidade e de rendas mais baixas que precisam de suporte especial;</w:t>
      </w:r>
    </w:p>
    <w:p w:rsidR="00E11DFB" w:rsidRPr="00E11DFB" w:rsidRDefault="00E11DFB" w:rsidP="00176A8A">
      <w:pPr>
        <w:rPr>
          <w:rFonts w:eastAsia="Times New Roman"/>
          <w:lang w:val="pt-BR" w:eastAsia="pt-BR"/>
        </w:rPr>
      </w:pPr>
    </w:p>
    <w:p w:rsidR="00176A8A" w:rsidRDefault="00176A8A" w:rsidP="00176A8A">
      <w:pPr>
        <w:rPr>
          <w:rFonts w:eastAsia="Times New Roman"/>
          <w:color w:val="222222"/>
          <w:lang w:val="pt-BR" w:eastAsia="pt-BR"/>
        </w:rPr>
      </w:pPr>
      <w:r w:rsidRPr="00176A8A">
        <w:rPr>
          <w:rFonts w:eastAsia="Times New Roman"/>
          <w:color w:val="222222"/>
          <w:lang w:val="pt-BR" w:eastAsia="pt-BR"/>
        </w:rPr>
        <w:t>Políticas sejam elaboradas para garantir </w:t>
      </w:r>
      <w:r w:rsidRPr="00176A8A">
        <w:rPr>
          <w:rFonts w:eastAsia="Times New Roman"/>
          <w:bCs/>
          <w:color w:val="222222"/>
          <w:lang w:val="pt-BR" w:eastAsia="pt-BR"/>
        </w:rPr>
        <w:t>medidas e proteção social</w:t>
      </w:r>
      <w:r w:rsidRPr="00176A8A">
        <w:rPr>
          <w:rFonts w:eastAsia="Times New Roman"/>
          <w:color w:val="222222"/>
          <w:lang w:val="pt-BR" w:eastAsia="pt-BR"/>
        </w:rPr>
        <w:t> tais como licença parental, cuidado infantil acessível, integração de políticas direcionadas à família nos locais de trabalho e em todos os níveis, </w:t>
      </w:r>
      <w:r w:rsidRPr="00176A8A">
        <w:rPr>
          <w:rFonts w:eastAsia="Times New Roman"/>
          <w:bCs/>
          <w:color w:val="000000"/>
          <w:lang w:val="pt-BR" w:eastAsia="pt-BR"/>
        </w:rPr>
        <w:t>programas que facilitem a volta ao trabalho de mulheres que estiveram afastadas durante a licença maternidade,</w:t>
      </w:r>
      <w:r w:rsidRPr="00176A8A">
        <w:rPr>
          <w:rFonts w:eastAsia="Times New Roman"/>
          <w:color w:val="222222"/>
          <w:lang w:val="pt-BR" w:eastAsia="pt-BR"/>
        </w:rPr>
        <w:t>desenvolvidas em consulta às famílias, respeitando direitos humanos de mulheres e moças;</w:t>
      </w:r>
    </w:p>
    <w:p w:rsidR="00E11DFB" w:rsidRPr="00176A8A" w:rsidRDefault="00E11DFB" w:rsidP="00176A8A">
      <w:pPr>
        <w:rPr>
          <w:rFonts w:eastAsia="Times New Roman"/>
          <w:color w:val="222222"/>
          <w:lang w:val="pt-BR" w:eastAsia="pt-BR"/>
        </w:rPr>
      </w:pPr>
    </w:p>
    <w:p w:rsidR="00176A8A" w:rsidRDefault="00176A8A" w:rsidP="00176A8A">
      <w:pPr>
        <w:rPr>
          <w:rFonts w:eastAsia="Times New Roman"/>
          <w:lang w:val="pt-BR" w:eastAsia="pt-BR"/>
        </w:rPr>
      </w:pPr>
      <w:r w:rsidRPr="00E11DFB">
        <w:rPr>
          <w:rFonts w:eastAsia="Times New Roman"/>
          <w:lang w:val="pt-BR" w:eastAsia="pt-BR"/>
        </w:rPr>
        <w:t>Um conceito plural de família seja adotado pelos governos, para reconhecer sua constante evolução e funções sociais e adaptar o arcabouço legal, político e programático a fim de abarcar todas as formas de família e assegurar o direito de todos de formar uma família, independente de orientação sexual ou identidade de gênero.</w:t>
      </w:r>
    </w:p>
    <w:p w:rsidR="00744BB7" w:rsidRPr="00E11DFB" w:rsidRDefault="00744BB7" w:rsidP="00176A8A">
      <w:pPr>
        <w:rPr>
          <w:rFonts w:eastAsia="Times New Roman"/>
          <w:lang w:val="pt-BR" w:eastAsia="pt-BR"/>
        </w:rPr>
      </w:pPr>
    </w:p>
    <w:p w:rsidR="00176A8A" w:rsidRPr="00E11DFB" w:rsidRDefault="00176A8A" w:rsidP="00176A8A">
      <w:pPr>
        <w:rPr>
          <w:rFonts w:eastAsia="Times New Roman"/>
          <w:lang w:val="pt-BR" w:eastAsia="pt-BR"/>
        </w:rPr>
      </w:pPr>
      <w:r w:rsidRPr="00E11DFB">
        <w:rPr>
          <w:rFonts w:eastAsia="Times New Roman"/>
          <w:lang w:val="pt-BR" w:eastAsia="pt-BR"/>
        </w:rPr>
        <w:t>Os direitos humanos e o desenvolvimento dos indivíduos sejam avançados e protegidos, enfatizando a proteção dos direitos individuais de membros da família contra a violência doméstica, estupro marital, o abuso sexual de crianças, castigo físico, abandono de meninas, Mutilação Genital Feminina (FGM), infanticídio feminino, casamento prematuro e forçado, abandono e abuso de idosos.</w:t>
      </w:r>
    </w:p>
    <w:p w:rsidR="00176A8A" w:rsidRPr="00176A8A" w:rsidRDefault="00176A8A" w:rsidP="00176A8A">
      <w:pPr>
        <w:rPr>
          <w:rFonts w:eastAsia="Times New Roman"/>
          <w:color w:val="500050"/>
          <w:lang w:val="pt-BR" w:eastAsia="pt-BR"/>
        </w:rPr>
      </w:pPr>
    </w:p>
    <w:p w:rsidR="00176A8A" w:rsidRPr="00176A8A" w:rsidRDefault="00176A8A" w:rsidP="00176A8A">
      <w:pPr>
        <w:rPr>
          <w:rFonts w:eastAsia="Times New Roman"/>
          <w:color w:val="500050"/>
          <w:lang w:val="pt-BR" w:eastAsia="pt-BR"/>
        </w:rPr>
      </w:pPr>
    </w:p>
    <w:p w:rsidR="00E11DFB" w:rsidRDefault="00176A8A" w:rsidP="00176A8A">
      <w:pPr>
        <w:rPr>
          <w:color w:val="222222"/>
          <w:shd w:val="clear" w:color="auto" w:fill="FFFFFF"/>
        </w:rPr>
      </w:pPr>
      <w:r w:rsidRPr="0065490C">
        <w:rPr>
          <w:color w:val="222222"/>
          <w:shd w:val="clear" w:color="auto" w:fill="FFFFFF"/>
        </w:rPr>
        <w:t>Assinam:</w:t>
      </w:r>
    </w:p>
    <w:p w:rsidR="00E11DFB" w:rsidRDefault="00E11DFB" w:rsidP="00176A8A">
      <w:pPr>
        <w:rPr>
          <w:color w:val="222222"/>
          <w:shd w:val="clear" w:color="auto" w:fill="FFFFFF"/>
        </w:rPr>
      </w:pPr>
    </w:p>
    <w:p w:rsidR="00176A8A" w:rsidRPr="0065490C" w:rsidRDefault="00176A8A" w:rsidP="00176A8A">
      <w:pPr>
        <w:rPr>
          <w:color w:val="222222"/>
          <w:lang w:val="pt-BR"/>
        </w:rPr>
      </w:pPr>
      <w:r w:rsidRPr="0065490C">
        <w:rPr>
          <w:b/>
          <w:bCs/>
          <w:color w:val="222222"/>
          <w:lang w:val="pt-BR"/>
        </w:rPr>
        <w:t>ABA</w:t>
      </w:r>
      <w:r w:rsidRPr="0065490C">
        <w:rPr>
          <w:color w:val="222222"/>
          <w:lang w:val="pt-BR"/>
        </w:rPr>
        <w:t xml:space="preserve"> - </w:t>
      </w:r>
      <w:r w:rsidRPr="00744BB7">
        <w:rPr>
          <w:color w:val="222222"/>
          <w:sz w:val="20"/>
          <w:szCs w:val="20"/>
          <w:lang w:val="pt-BR"/>
        </w:rPr>
        <w:t>Associação Brasileira de Antropologia</w:t>
      </w:r>
      <w:r w:rsidRPr="0065490C">
        <w:rPr>
          <w:color w:val="222222"/>
          <w:lang w:val="pt-BR"/>
        </w:rPr>
        <w:t xml:space="preserve"> &lt;</w:t>
      </w:r>
      <w:hyperlink r:id="rId7" w:tgtFrame="_blank" w:history="1">
        <w:r w:rsidRPr="0065490C">
          <w:rPr>
            <w:rStyle w:val="Hyperlink"/>
            <w:rFonts w:ascii="Times New Roman" w:hAnsi="Times New Roman"/>
            <w:color w:val="1155CC"/>
            <w:lang w:val="pt-BR"/>
          </w:rPr>
          <w:t>http://</w:t>
        </w:r>
      </w:hyperlink>
      <w:hyperlink r:id="rId8" w:tgtFrame="_blank" w:history="1">
        <w:r w:rsidRPr="0065490C">
          <w:rPr>
            <w:rStyle w:val="Hyperlink"/>
            <w:rFonts w:ascii="Times New Roman" w:hAnsi="Times New Roman"/>
            <w:color w:val="1155CC"/>
            <w:lang w:val="pt-BR"/>
          </w:rPr>
          <w:t>www.portal.abant.org.br</w:t>
        </w:r>
      </w:hyperlink>
      <w:hyperlink r:id="rId9"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ABIA</w:t>
      </w:r>
      <w:r w:rsidRPr="0065490C">
        <w:rPr>
          <w:color w:val="222222"/>
          <w:lang w:val="pt-BR"/>
        </w:rPr>
        <w:t xml:space="preserve"> - </w:t>
      </w:r>
      <w:r w:rsidRPr="00744BB7">
        <w:rPr>
          <w:color w:val="222222"/>
          <w:sz w:val="20"/>
          <w:szCs w:val="20"/>
          <w:lang w:val="pt-BR"/>
        </w:rPr>
        <w:t>Associação Brasileira Interdisciplinar de AIDS</w:t>
      </w:r>
      <w:r w:rsidRPr="0065490C">
        <w:rPr>
          <w:color w:val="222222"/>
          <w:lang w:val="pt-BR"/>
        </w:rPr>
        <w:t xml:space="preserve"> &lt;</w:t>
      </w:r>
      <w:hyperlink r:id="rId10" w:tgtFrame="_blank" w:history="1">
        <w:r w:rsidRPr="0065490C">
          <w:rPr>
            <w:rStyle w:val="Hyperlink"/>
            <w:rFonts w:ascii="Times New Roman" w:hAnsi="Times New Roman"/>
            <w:color w:val="1155CC"/>
            <w:lang w:val="pt-BR"/>
          </w:rPr>
          <w:t>http://</w:t>
        </w:r>
      </w:hyperlink>
      <w:hyperlink r:id="rId11" w:tgtFrame="_blank" w:history="1">
        <w:r w:rsidRPr="0065490C">
          <w:rPr>
            <w:rStyle w:val="Hyperlink"/>
            <w:rFonts w:ascii="Times New Roman" w:hAnsi="Times New Roman"/>
            <w:color w:val="1155CC"/>
            <w:lang w:val="pt-BR"/>
          </w:rPr>
          <w:t>abiaids.org.br</w:t>
        </w:r>
      </w:hyperlink>
      <w:hyperlink r:id="rId12"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ABEP</w:t>
      </w:r>
      <w:r w:rsidRPr="0065490C">
        <w:rPr>
          <w:color w:val="222222"/>
          <w:lang w:val="pt-BR"/>
        </w:rPr>
        <w:t xml:space="preserve"> - </w:t>
      </w:r>
      <w:r w:rsidRPr="00744BB7">
        <w:rPr>
          <w:color w:val="222222"/>
          <w:sz w:val="20"/>
          <w:szCs w:val="20"/>
          <w:lang w:val="pt-BR"/>
        </w:rPr>
        <w:t>Associação Brasileira de Estudos Populacionais</w:t>
      </w:r>
      <w:r w:rsidRPr="0065490C">
        <w:rPr>
          <w:color w:val="222222"/>
          <w:lang w:val="pt-BR"/>
        </w:rPr>
        <w:t xml:space="preserve"> &lt; </w:t>
      </w:r>
      <w:hyperlink r:id="rId13" w:tgtFrame="_blank" w:history="1">
        <w:r w:rsidRPr="0065490C">
          <w:rPr>
            <w:rStyle w:val="Hyperlink"/>
            <w:rFonts w:ascii="Times New Roman" w:hAnsi="Times New Roman"/>
            <w:color w:val="1155CC"/>
            <w:lang w:val="pt-BR"/>
          </w:rPr>
          <w:t>http://</w:t>
        </w:r>
      </w:hyperlink>
      <w:hyperlink r:id="rId14" w:tgtFrame="_blank" w:history="1">
        <w:r w:rsidRPr="0065490C">
          <w:rPr>
            <w:rStyle w:val="Hyperlink"/>
            <w:rFonts w:ascii="Times New Roman" w:hAnsi="Times New Roman"/>
            <w:color w:val="1155CC"/>
            <w:lang w:val="pt-BR"/>
          </w:rPr>
          <w:t>www.abep.org.br</w:t>
        </w:r>
      </w:hyperlink>
      <w:hyperlink r:id="rId15" w:tgtFrame="_blank" w:history="1">
        <w:r w:rsidRPr="0065490C">
          <w:rPr>
            <w:rStyle w:val="Hyperlink"/>
            <w:rFonts w:ascii="Times New Roman" w:hAnsi="Times New Roman"/>
            <w:color w:val="1155CC"/>
            <w:lang w:val="pt-BR"/>
          </w:rPr>
          <w:t>/</w:t>
        </w:r>
      </w:hyperlink>
      <w:r w:rsidRPr="0065490C">
        <w:rPr>
          <w:color w:val="222222"/>
          <w:lang w:val="pt-BR"/>
        </w:rPr>
        <w:t>&gt; </w:t>
      </w:r>
    </w:p>
    <w:p w:rsidR="00176A8A" w:rsidRPr="0065490C" w:rsidRDefault="00176A8A" w:rsidP="00176A8A">
      <w:pPr>
        <w:rPr>
          <w:color w:val="222222"/>
        </w:rPr>
      </w:pPr>
      <w:r w:rsidRPr="00176A8A">
        <w:rPr>
          <w:rStyle w:val="Forte"/>
          <w:rFonts w:ascii="Times New Roman" w:hAnsi="Times New Roman" w:cs="Times New Roman"/>
          <w:color w:val="000000"/>
          <w:bdr w:val="none" w:sz="0" w:space="0" w:color="auto" w:frame="1"/>
          <w:lang w:val="pt-BR"/>
        </w:rPr>
        <w:t>ANPOCS</w:t>
      </w:r>
      <w:r w:rsidRPr="00176A8A">
        <w:rPr>
          <w:color w:val="000000"/>
          <w:lang w:val="pt-BR"/>
        </w:rPr>
        <w:t xml:space="preserve"> - </w:t>
      </w:r>
      <w:r w:rsidRPr="00744BB7">
        <w:rPr>
          <w:color w:val="000000"/>
          <w:sz w:val="20"/>
          <w:szCs w:val="20"/>
          <w:lang w:val="pt-BR"/>
        </w:rPr>
        <w:t>Associação Nacional de Pós-Graduação e Pesquisa em Ciências Sociais</w:t>
      </w:r>
      <w:r w:rsidRPr="00744BB7">
        <w:rPr>
          <w:color w:val="222222"/>
          <w:sz w:val="20"/>
          <w:szCs w:val="20"/>
          <w:lang w:val="pt-BR"/>
        </w:rPr>
        <w:t> </w:t>
      </w:r>
      <w:r w:rsidRPr="00176A8A">
        <w:rPr>
          <w:color w:val="222222"/>
          <w:lang w:val="pt-BR"/>
        </w:rPr>
        <w:t>&lt;</w:t>
      </w:r>
      <w:r w:rsidRPr="00176A8A">
        <w:rPr>
          <w:color w:val="006621"/>
          <w:lang w:val="pt-BR"/>
        </w:rPr>
        <w:t>www.</w:t>
      </w:r>
      <w:r w:rsidRPr="00176A8A">
        <w:rPr>
          <w:b/>
          <w:bCs/>
          <w:color w:val="006621"/>
          <w:lang w:val="pt-BR"/>
        </w:rPr>
        <w:t>anpocs</w:t>
      </w:r>
      <w:r w:rsidRPr="00176A8A">
        <w:rPr>
          <w:color w:val="006621"/>
          <w:lang w:val="pt-BR"/>
        </w:rPr>
        <w:t>.</w:t>
      </w:r>
      <w:hyperlink r:id="rId16" w:tgtFrame="_blank" w:history="1">
        <w:r w:rsidRPr="0065490C">
          <w:rPr>
            <w:rStyle w:val="Hyperlink"/>
            <w:rFonts w:ascii="Times New Roman" w:hAnsi="Times New Roman" w:cs="Times New Roman"/>
            <w:color w:val="1155CC"/>
          </w:rPr>
          <w:t>org.br/</w:t>
        </w:r>
      </w:hyperlink>
    </w:p>
    <w:p w:rsidR="00176A8A" w:rsidRPr="0065490C" w:rsidRDefault="00176A8A" w:rsidP="00176A8A">
      <w:pPr>
        <w:rPr>
          <w:color w:val="222222"/>
          <w:lang w:val="pt-BR"/>
        </w:rPr>
      </w:pPr>
      <w:r w:rsidRPr="0065490C">
        <w:rPr>
          <w:b/>
          <w:bCs/>
          <w:color w:val="222222"/>
          <w:lang w:val="pt-BR"/>
        </w:rPr>
        <w:t>Cfemea</w:t>
      </w:r>
      <w:r w:rsidRPr="0065490C">
        <w:rPr>
          <w:color w:val="222222"/>
          <w:lang w:val="pt-BR"/>
        </w:rPr>
        <w:t xml:space="preserve"> - </w:t>
      </w:r>
      <w:r w:rsidRPr="00744BB7">
        <w:rPr>
          <w:color w:val="222222"/>
          <w:sz w:val="20"/>
          <w:szCs w:val="20"/>
          <w:lang w:val="pt-BR"/>
        </w:rPr>
        <w:t>Centro Brasileiro de Estudos e Assessoria</w:t>
      </w:r>
      <w:r w:rsidRPr="0065490C">
        <w:rPr>
          <w:color w:val="222222"/>
          <w:lang w:val="pt-BR"/>
        </w:rPr>
        <w:t xml:space="preserve"> &lt; </w:t>
      </w:r>
      <w:hyperlink r:id="rId17" w:tgtFrame="_blank" w:history="1">
        <w:r w:rsidRPr="0065490C">
          <w:rPr>
            <w:rStyle w:val="Hyperlink"/>
            <w:rFonts w:ascii="Times New Roman" w:hAnsi="Times New Roman"/>
            <w:color w:val="1155CC"/>
            <w:lang w:val="pt-BR"/>
          </w:rPr>
          <w:t>http://</w:t>
        </w:r>
      </w:hyperlink>
      <w:hyperlink r:id="rId18" w:tgtFrame="_blank" w:history="1">
        <w:r w:rsidRPr="0065490C">
          <w:rPr>
            <w:rStyle w:val="Hyperlink"/>
            <w:rFonts w:ascii="Times New Roman" w:hAnsi="Times New Roman"/>
            <w:color w:val="1155CC"/>
            <w:lang w:val="pt-BR"/>
          </w:rPr>
          <w:t>www.cfemea.org.br</w:t>
        </w:r>
      </w:hyperlink>
      <w:hyperlink r:id="rId19"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CLAM/UERJ</w:t>
      </w:r>
      <w:r w:rsidRPr="0065490C">
        <w:rPr>
          <w:color w:val="222222"/>
          <w:lang w:val="pt-BR"/>
        </w:rPr>
        <w:t xml:space="preserve"> - </w:t>
      </w:r>
      <w:r w:rsidRPr="00744BB7">
        <w:rPr>
          <w:color w:val="222222"/>
          <w:sz w:val="20"/>
          <w:szCs w:val="20"/>
          <w:lang w:val="pt-BR"/>
        </w:rPr>
        <w:t>Centro Latino-Americano em Sexualidade e Direitos Humanos</w:t>
      </w:r>
      <w:r w:rsidRPr="0065490C">
        <w:rPr>
          <w:color w:val="222222"/>
          <w:lang w:val="pt-BR"/>
        </w:rPr>
        <w:t xml:space="preserve"> &lt;</w:t>
      </w:r>
      <w:hyperlink r:id="rId20" w:tgtFrame="_blank" w:history="1">
        <w:r w:rsidRPr="0065490C">
          <w:rPr>
            <w:rStyle w:val="Hyperlink"/>
            <w:rFonts w:ascii="Times New Roman" w:hAnsi="Times New Roman"/>
            <w:color w:val="1155CC"/>
            <w:lang w:val="pt-BR"/>
          </w:rPr>
          <w:t>http://</w:t>
        </w:r>
      </w:hyperlink>
      <w:hyperlink r:id="rId21" w:tgtFrame="_blank" w:history="1">
        <w:r w:rsidRPr="0065490C">
          <w:rPr>
            <w:rStyle w:val="Hyperlink"/>
            <w:rFonts w:ascii="Times New Roman" w:hAnsi="Times New Roman"/>
            <w:color w:val="1155CC"/>
            <w:lang w:val="pt-BR"/>
          </w:rPr>
          <w:t>clam.org.br</w:t>
        </w:r>
      </w:hyperlink>
      <w:hyperlink r:id="rId22"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IPAS/Brazil</w:t>
      </w:r>
      <w:r w:rsidRPr="0065490C">
        <w:rPr>
          <w:color w:val="222222"/>
          <w:lang w:val="pt-BR"/>
        </w:rPr>
        <w:t xml:space="preserve"> – </w:t>
      </w:r>
      <w:r w:rsidRPr="00744BB7">
        <w:rPr>
          <w:color w:val="222222"/>
          <w:sz w:val="20"/>
          <w:szCs w:val="20"/>
          <w:lang w:val="pt-BR"/>
        </w:rPr>
        <w:t>Ações Afirmativas em Direitos e Saúde</w:t>
      </w:r>
      <w:r w:rsidRPr="0065490C">
        <w:rPr>
          <w:color w:val="222222"/>
          <w:lang w:val="pt-BR"/>
        </w:rPr>
        <w:t xml:space="preserve"> &lt;</w:t>
      </w:r>
      <w:hyperlink r:id="rId23" w:tgtFrame="_blank" w:history="1">
        <w:r w:rsidRPr="0065490C">
          <w:rPr>
            <w:rStyle w:val="Hyperlink"/>
            <w:rFonts w:ascii="Times New Roman" w:hAnsi="Times New Roman"/>
            <w:color w:val="1155CC"/>
            <w:lang w:val="pt-BR"/>
          </w:rPr>
          <w:t>http://</w:t>
        </w:r>
      </w:hyperlink>
      <w:hyperlink r:id="rId24" w:tgtFrame="_blank" w:history="1">
        <w:r w:rsidRPr="0065490C">
          <w:rPr>
            <w:rStyle w:val="Hyperlink"/>
            <w:rFonts w:ascii="Times New Roman" w:hAnsi="Times New Roman"/>
            <w:color w:val="1155CC"/>
            <w:lang w:val="pt-BR"/>
          </w:rPr>
          <w:t>www.aads.org.br</w:t>
        </w:r>
      </w:hyperlink>
      <w:hyperlink r:id="rId25" w:tgtFrame="_blank" w:history="1">
        <w:r w:rsidRPr="0065490C">
          <w:rPr>
            <w:rStyle w:val="Hyperlink"/>
            <w:rFonts w:ascii="Times New Roman" w:hAnsi="Times New Roman"/>
            <w:color w:val="1155CC"/>
            <w:lang w:val="pt-BR"/>
          </w:rPr>
          <w:t>/</w:t>
        </w:r>
      </w:hyperlink>
      <w:hyperlink r:id="rId26" w:tgtFrame="_blank" w:history="1">
        <w:r w:rsidRPr="0065490C">
          <w:rPr>
            <w:rStyle w:val="Hyperlink"/>
            <w:rFonts w:ascii="Times New Roman" w:hAnsi="Times New Roman"/>
            <w:color w:val="1155CC"/>
            <w:lang w:val="pt-BR"/>
          </w:rPr>
          <w:t>wp</w:t>
        </w:r>
      </w:hyperlink>
      <w:hyperlink r:id="rId27"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rPr>
      </w:pPr>
      <w:r w:rsidRPr="0065490C">
        <w:rPr>
          <w:b/>
          <w:bCs/>
          <w:color w:val="222222"/>
        </w:rPr>
        <w:t>SPW </w:t>
      </w:r>
      <w:r w:rsidRPr="0065490C">
        <w:rPr>
          <w:color w:val="222222"/>
        </w:rPr>
        <w:t xml:space="preserve">- </w:t>
      </w:r>
      <w:r w:rsidRPr="00744BB7">
        <w:rPr>
          <w:color w:val="222222"/>
          <w:sz w:val="20"/>
          <w:szCs w:val="20"/>
        </w:rPr>
        <w:t xml:space="preserve">Sexuality Policy Watch </w:t>
      </w:r>
      <w:r w:rsidRPr="0065490C">
        <w:rPr>
          <w:color w:val="222222"/>
        </w:rPr>
        <w:t>&lt;</w:t>
      </w:r>
      <w:hyperlink r:id="rId28" w:tgtFrame="_blank" w:history="1">
        <w:r w:rsidRPr="0065490C">
          <w:rPr>
            <w:rStyle w:val="Hyperlink"/>
            <w:rFonts w:ascii="Times New Roman" w:hAnsi="Times New Roman"/>
            <w:color w:val="1155CC"/>
          </w:rPr>
          <w:t>http://</w:t>
        </w:r>
      </w:hyperlink>
      <w:hyperlink r:id="rId29" w:tgtFrame="_blank" w:history="1">
        <w:r w:rsidRPr="0065490C">
          <w:rPr>
            <w:rStyle w:val="Hyperlink"/>
            <w:rFonts w:ascii="Times New Roman" w:hAnsi="Times New Roman"/>
            <w:color w:val="1155CC"/>
          </w:rPr>
          <w:t>sxpolitics.org</w:t>
        </w:r>
      </w:hyperlink>
      <w:hyperlink r:id="rId30" w:tgtFrame="_blank" w:history="1">
        <w:r w:rsidRPr="0065490C">
          <w:rPr>
            <w:rStyle w:val="Hyperlink"/>
            <w:rFonts w:ascii="Times New Roman" w:hAnsi="Times New Roman"/>
            <w:color w:val="1155CC"/>
          </w:rPr>
          <w:t>/</w:t>
        </w:r>
      </w:hyperlink>
      <w:r w:rsidRPr="0065490C">
        <w:rPr>
          <w:color w:val="222222"/>
        </w:rPr>
        <w:t>&gt;</w:t>
      </w:r>
    </w:p>
    <w:p w:rsidR="00176A8A" w:rsidRPr="0065490C" w:rsidRDefault="00176A8A" w:rsidP="00176A8A">
      <w:pPr>
        <w:shd w:val="clear" w:color="auto" w:fill="FFFFFF"/>
        <w:spacing w:line="240" w:lineRule="auto"/>
        <w:ind w:left="870"/>
        <w:rPr>
          <w:rFonts w:ascii="Times New Roman" w:eastAsia="Times New Roman" w:hAnsi="Times New Roman" w:cs="Times New Roman"/>
          <w:color w:val="500050"/>
          <w:lang w:eastAsia="pt-BR"/>
        </w:rPr>
      </w:pPr>
    </w:p>
    <w:p w:rsidR="00296BAF" w:rsidRPr="00FE5D2E" w:rsidRDefault="00296BAF" w:rsidP="00FD524B">
      <w:pPr>
        <w:rPr>
          <w:lang w:val="pt-BR"/>
        </w:rPr>
      </w:pPr>
    </w:p>
    <w:p w:rsidR="00296BAF" w:rsidRPr="00FE5D2E" w:rsidRDefault="00296BAF" w:rsidP="00FD524B">
      <w:pPr>
        <w:rPr>
          <w:lang w:val="pt-BR"/>
        </w:rPr>
      </w:pPr>
    </w:p>
    <w:p w:rsidR="007208F9" w:rsidRPr="00FE5D2E" w:rsidRDefault="007208F9" w:rsidP="00A3190A">
      <w:pPr>
        <w:pStyle w:val="textobiblio"/>
        <w:rPr>
          <w:lang w:val="pt-BR"/>
        </w:rPr>
      </w:pPr>
      <w:bookmarkStart w:id="0" w:name="_GoBack"/>
      <w:bookmarkEnd w:id="0"/>
    </w:p>
    <w:sectPr w:rsidR="007208F9" w:rsidRPr="00FE5D2E" w:rsidSect="009A3876">
      <w:headerReference w:type="default" r:id="rId31"/>
      <w:footerReference w:type="even" r:id="rId32"/>
      <w:footerReference w:type="default" r:id="rId33"/>
      <w:pgSz w:w="11901" w:h="16817"/>
      <w:pgMar w:top="1933" w:right="1474" w:bottom="1474" w:left="1474" w:header="709" w:footer="44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96" w:rsidRDefault="00595296" w:rsidP="00E77A5D">
      <w:r>
        <w:separator/>
      </w:r>
    </w:p>
  </w:endnote>
  <w:endnote w:type="continuationSeparator" w:id="1">
    <w:p w:rsidR="00595296" w:rsidRDefault="00595296" w:rsidP="00E77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Gill Sans">
    <w:altName w:val="Arial"/>
    <w:charset w:val="00"/>
    <w:family w:val="auto"/>
    <w:pitch w:val="variable"/>
    <w:sig w:usb0="00000000" w:usb1="00000000" w:usb2="00000000" w:usb3="00000000" w:csb0="000001F7" w:csb1="00000000"/>
  </w:font>
  <w:font w:name="Gill Sans Ligh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Default="007D50B3" w:rsidP="0026543E">
    <w:pPr>
      <w:framePr w:wrap="around" w:vAnchor="text" w:hAnchor="margin" w:xAlign="right" w:y="1"/>
      <w:rPr>
        <w:rStyle w:val="Nmerodepgina"/>
      </w:rPr>
    </w:pPr>
    <w:r>
      <w:rPr>
        <w:rStyle w:val="Nmerodepgina"/>
      </w:rPr>
      <w:fldChar w:fldCharType="begin"/>
    </w:r>
    <w:r w:rsidR="00F139E3">
      <w:rPr>
        <w:rStyle w:val="Nmerodepgina"/>
      </w:rPr>
      <w:instrText xml:space="preserve">PAGE  </w:instrText>
    </w:r>
    <w:r>
      <w:rPr>
        <w:rStyle w:val="Nmerodepgina"/>
      </w:rPr>
      <w:fldChar w:fldCharType="end"/>
    </w:r>
  </w:p>
  <w:p w:rsidR="00F139E3" w:rsidRDefault="00F139E3" w:rsidP="006F0ABD">
    <w:pPr>
      <w:ind w:right="360"/>
    </w:pPr>
  </w:p>
  <w:p w:rsidR="00F139E3" w:rsidRDefault="00F139E3"/>
  <w:p w:rsidR="003E1BE3" w:rsidRDefault="003E1B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4F" w:rsidRPr="00A333CE" w:rsidRDefault="007D50B3" w:rsidP="005B694F">
    <w:pPr>
      <w:framePr w:wrap="around" w:vAnchor="text" w:hAnchor="page" w:x="10295" w:y="3"/>
      <w:rPr>
        <w:rStyle w:val="Nmerodepgina"/>
        <w:color w:val="A6A6A6" w:themeColor="background1" w:themeShade="A6"/>
        <w:vertAlign w:val="subscript"/>
      </w:rPr>
    </w:pPr>
    <w:r w:rsidRPr="00C85093">
      <w:rPr>
        <w:rStyle w:val="Nmerodepgina"/>
        <w:color w:val="A6A6A6" w:themeColor="background1" w:themeShade="A6"/>
      </w:rPr>
      <w:fldChar w:fldCharType="begin"/>
    </w:r>
    <w:r w:rsidR="005B694F" w:rsidRPr="00C85093">
      <w:rPr>
        <w:rStyle w:val="Nmerodepgina"/>
        <w:color w:val="A6A6A6" w:themeColor="background1" w:themeShade="A6"/>
      </w:rPr>
      <w:instrText xml:space="preserve">PAGE  </w:instrText>
    </w:r>
    <w:r w:rsidRPr="00C85093">
      <w:rPr>
        <w:rStyle w:val="Nmerodepgina"/>
        <w:color w:val="A6A6A6" w:themeColor="background1" w:themeShade="A6"/>
      </w:rPr>
      <w:fldChar w:fldCharType="separate"/>
    </w:r>
    <w:r w:rsidR="00595296">
      <w:rPr>
        <w:rStyle w:val="Nmerodepgina"/>
        <w:noProof/>
        <w:color w:val="A6A6A6" w:themeColor="background1" w:themeShade="A6"/>
      </w:rPr>
      <w:t>1</w:t>
    </w:r>
    <w:r w:rsidRPr="00C85093">
      <w:rPr>
        <w:rStyle w:val="Nmerodepgina"/>
        <w:color w:val="A6A6A6" w:themeColor="background1" w:themeShade="A6"/>
      </w:rPr>
      <w:fldChar w:fldCharType="end"/>
    </w:r>
  </w:p>
  <w:p w:rsidR="005B694F" w:rsidRPr="00722CB9" w:rsidRDefault="005B694F" w:rsidP="005B694F">
    <w:pPr>
      <w:pStyle w:val="Cabealho"/>
      <w:tabs>
        <w:tab w:val="clear" w:pos="4320"/>
        <w:tab w:val="clear" w:pos="8640"/>
        <w:tab w:val="right" w:pos="8953"/>
      </w:tabs>
    </w:pPr>
    <w:r>
      <w:t>www</w:t>
    </w:r>
    <w:r w:rsidRPr="00722CB9">
      <w:t>.clam.org.br</w:t>
    </w:r>
    <w:r>
      <w:tab/>
    </w:r>
  </w:p>
  <w:p w:rsidR="003E1BE3" w:rsidRPr="005B694F" w:rsidRDefault="003E1BE3" w:rsidP="005B69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96" w:rsidRDefault="00595296" w:rsidP="00E77A5D">
      <w:r>
        <w:separator/>
      </w:r>
    </w:p>
  </w:footnote>
  <w:footnote w:type="continuationSeparator" w:id="1">
    <w:p w:rsidR="00595296" w:rsidRDefault="00595296" w:rsidP="00E77A5D">
      <w:r>
        <w:continuationSeparator/>
      </w:r>
    </w:p>
  </w:footnote>
  <w:footnote w:id="2">
    <w:p w:rsidR="00176A8A" w:rsidRDefault="00176A8A" w:rsidP="00176A8A">
      <w:pPr>
        <w:pStyle w:val="Textodenotaderodap"/>
      </w:pPr>
      <w:r>
        <w:rPr>
          <w:rStyle w:val="Refdenotaderodap"/>
        </w:rPr>
        <w:footnoteRef/>
      </w:r>
      <w:r>
        <w:t xml:space="preserve"> Ref. Mello.</w:t>
      </w:r>
    </w:p>
  </w:footnote>
  <w:footnote w:id="3">
    <w:p w:rsidR="00176A8A" w:rsidRDefault="00176A8A" w:rsidP="00176A8A">
      <w:pPr>
        <w:pStyle w:val="Textodenotaderodap"/>
      </w:pPr>
      <w:r>
        <w:rPr>
          <w:rStyle w:val="Refdenotaderodap"/>
        </w:rPr>
        <w:footnoteRef/>
      </w:r>
      <w:r>
        <w:t xml:space="preserve"> Ref. Alves e Cavenaghi.</w:t>
      </w:r>
    </w:p>
  </w:footnote>
  <w:footnote w:id="4">
    <w:p w:rsidR="00176A8A" w:rsidRPr="00A353AE" w:rsidRDefault="00176A8A" w:rsidP="00176A8A">
      <w:pPr>
        <w:pStyle w:val="Textodenotaderodap"/>
      </w:pPr>
      <w:r w:rsidRPr="00AF1796">
        <w:rPr>
          <w:rStyle w:val="Refdenotaderodap"/>
        </w:rPr>
        <w:footnoteRef/>
      </w:r>
      <w:r w:rsidRPr="00A353AE">
        <w:t>See</w:t>
      </w:r>
      <w:hyperlink r:id="rId1" w:history="1">
        <w:r w:rsidRPr="00A353AE">
          <w:rPr>
            <w:rStyle w:val="Hyperlink"/>
          </w:rPr>
          <w:t>http://www.stf.jus.br/portal/processo/verProcessoAndamento.asp?incidente=11872</w:t>
        </w:r>
      </w:hyperlink>
    </w:p>
  </w:footnote>
  <w:footnote w:id="5">
    <w:p w:rsidR="00176A8A" w:rsidRPr="00A353AE" w:rsidRDefault="00176A8A" w:rsidP="00176A8A">
      <w:pPr>
        <w:pStyle w:val="Textodenotaderodap"/>
        <w:rPr>
          <w:rStyle w:val="Hyperlink"/>
          <w:lang w:val="en-US"/>
        </w:rPr>
      </w:pPr>
      <w:r>
        <w:rPr>
          <w:rStyle w:val="Refdenotaderodap"/>
        </w:rPr>
        <w:footnoteRef/>
      </w:r>
      <w:r w:rsidRPr="00FB3B20">
        <w:rPr>
          <w:lang w:val="en-US"/>
        </w:rPr>
        <w:t xml:space="preserve">See </w:t>
      </w:r>
      <w:r w:rsidRPr="00FB3B20">
        <w:rPr>
          <w:rStyle w:val="Hyperlink"/>
          <w:lang w:val="en-US"/>
        </w:rPr>
        <w:t>http://www.cnj.jus.br/images/imprensa/resolu%C3%A7%C3%A3o_n_175.pdf</w:t>
      </w:r>
    </w:p>
  </w:footnote>
  <w:footnote w:id="6">
    <w:p w:rsidR="00176A8A" w:rsidRPr="00391065" w:rsidRDefault="00176A8A" w:rsidP="00176A8A">
      <w:pPr>
        <w:pStyle w:val="Textodenotaderodap"/>
        <w:rPr>
          <w:lang w:val="en-US"/>
        </w:rPr>
      </w:pPr>
      <w:r w:rsidRPr="00FB3B20">
        <w:footnoteRef/>
      </w:r>
      <w:r w:rsidRPr="00FB3B20">
        <w:rPr>
          <w:lang w:val="en-US"/>
        </w:rPr>
        <w:t xml:space="preserve">See </w:t>
      </w:r>
      <w:hyperlink r:id="rId2" w:history="1">
        <w:r w:rsidRPr="00FB3B20">
          <w:rPr>
            <w:rStyle w:val="Hyperlink"/>
            <w:lang w:val="en-US"/>
          </w:rPr>
          <w:t>http://brasil.estadao.com.br/noticias/rio-de-janeiro,rio-registra-primeira-uniao-estavel-entre-3-mulheres,1781538</w:t>
        </w:r>
      </w:hyperlink>
      <w:r w:rsidRPr="00FB3B20">
        <w:rPr>
          <w:lang w:val="en-US"/>
        </w:rPr>
        <w:t xml:space="preserve"> (in Portuguese)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Pr="00FE5D2E" w:rsidRDefault="00F139E3" w:rsidP="003A220A">
    <w:pPr>
      <w:pStyle w:val="Cabealho"/>
      <w:rPr>
        <w:lang w:val="pt-BR"/>
      </w:rPr>
    </w:pPr>
    <w:r w:rsidRPr="00AD22F7">
      <w:rPr>
        <w:noProof/>
        <w:lang w:val="pt-BR" w:eastAsia="pt-BR"/>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-136525</wp:posOffset>
          </wp:positionV>
          <wp:extent cx="1927225" cy="5378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template 50-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27225" cy="537845"/>
                  </a:xfrm>
                  <a:prstGeom prst="rect">
                    <a:avLst/>
                  </a:prstGeom>
                </pic:spPr>
              </pic:pic>
            </a:graphicData>
          </a:graphic>
        </wp:anchor>
      </w:drawing>
    </w:r>
  </w:p>
  <w:p w:rsidR="00F139E3" w:rsidRPr="00FE5D2E" w:rsidRDefault="00F139E3" w:rsidP="00AD22F7">
    <w:pPr>
      <w:pStyle w:val="Cabealho"/>
      <w:rPr>
        <w:lang w:val="pt-BR"/>
      </w:rPr>
    </w:pPr>
  </w:p>
  <w:p w:rsidR="003E1BE3" w:rsidRPr="00FE5D2E" w:rsidRDefault="00755E59" w:rsidP="00755E59">
    <w:pPr>
      <w:pStyle w:val="Cabealho"/>
      <w:tabs>
        <w:tab w:val="left" w:pos="800"/>
      </w:tabs>
      <w:rPr>
        <w:lang w:val="pt-BR"/>
      </w:rPr>
    </w:pPr>
    <w:r w:rsidRPr="00FE5D2E">
      <w:rPr>
        <w:lang w:val="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6C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78EB6E"/>
    <w:lvl w:ilvl="0">
      <w:start w:val="1"/>
      <w:numFmt w:val="decimal"/>
      <w:lvlText w:val="%1."/>
      <w:lvlJc w:val="left"/>
      <w:pPr>
        <w:tabs>
          <w:tab w:val="num" w:pos="1492"/>
        </w:tabs>
        <w:ind w:left="1492" w:hanging="360"/>
      </w:pPr>
    </w:lvl>
  </w:abstractNum>
  <w:abstractNum w:abstractNumId="2">
    <w:nsid w:val="FFFFFF7D"/>
    <w:multiLevelType w:val="singleLevel"/>
    <w:tmpl w:val="E03CEA72"/>
    <w:lvl w:ilvl="0">
      <w:start w:val="1"/>
      <w:numFmt w:val="decimal"/>
      <w:lvlText w:val="%1."/>
      <w:lvlJc w:val="left"/>
      <w:pPr>
        <w:tabs>
          <w:tab w:val="num" w:pos="1209"/>
        </w:tabs>
        <w:ind w:left="1209" w:hanging="360"/>
      </w:pPr>
    </w:lvl>
  </w:abstractNum>
  <w:abstractNum w:abstractNumId="3">
    <w:nsid w:val="FFFFFF7E"/>
    <w:multiLevelType w:val="singleLevel"/>
    <w:tmpl w:val="240AFD38"/>
    <w:lvl w:ilvl="0">
      <w:start w:val="1"/>
      <w:numFmt w:val="decimal"/>
      <w:lvlText w:val="%1."/>
      <w:lvlJc w:val="left"/>
      <w:pPr>
        <w:tabs>
          <w:tab w:val="num" w:pos="926"/>
        </w:tabs>
        <w:ind w:left="926" w:hanging="360"/>
      </w:pPr>
    </w:lvl>
  </w:abstractNum>
  <w:abstractNum w:abstractNumId="4">
    <w:nsid w:val="FFFFFF7F"/>
    <w:multiLevelType w:val="singleLevel"/>
    <w:tmpl w:val="D742AC70"/>
    <w:lvl w:ilvl="0">
      <w:start w:val="1"/>
      <w:numFmt w:val="decimal"/>
      <w:lvlText w:val="%1."/>
      <w:lvlJc w:val="left"/>
      <w:pPr>
        <w:tabs>
          <w:tab w:val="num" w:pos="643"/>
        </w:tabs>
        <w:ind w:left="643" w:hanging="360"/>
      </w:pPr>
    </w:lvl>
  </w:abstractNum>
  <w:abstractNum w:abstractNumId="5">
    <w:nsid w:val="FFFFFF80"/>
    <w:multiLevelType w:val="singleLevel"/>
    <w:tmpl w:val="496E54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5056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4ED2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A51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B400294"/>
    <w:lvl w:ilvl="0">
      <w:start w:val="1"/>
      <w:numFmt w:val="decimal"/>
      <w:lvlText w:val="%1."/>
      <w:lvlJc w:val="left"/>
      <w:pPr>
        <w:tabs>
          <w:tab w:val="num" w:pos="360"/>
        </w:tabs>
        <w:ind w:left="360" w:hanging="360"/>
      </w:pPr>
    </w:lvl>
  </w:abstractNum>
  <w:abstractNum w:abstractNumId="10">
    <w:nsid w:val="FFFFFF89"/>
    <w:multiLevelType w:val="singleLevel"/>
    <w:tmpl w:val="C420BB62"/>
    <w:lvl w:ilvl="0">
      <w:start w:val="1"/>
      <w:numFmt w:val="bullet"/>
      <w:pStyle w:val="Commarcadores"/>
      <w:lvlText w:val=""/>
      <w:lvlJc w:val="left"/>
      <w:pPr>
        <w:tabs>
          <w:tab w:val="num" w:pos="360"/>
        </w:tabs>
        <w:ind w:left="360" w:hanging="360"/>
      </w:pPr>
      <w:rPr>
        <w:rFonts w:ascii="Symbol" w:hAnsi="Symbol" w:hint="default"/>
      </w:rPr>
    </w:lvl>
  </w:abstractNum>
  <w:abstractNum w:abstractNumId="1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4B30A2"/>
    <w:multiLevelType w:val="multilevel"/>
    <w:tmpl w:val="09A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17267"/>
    <w:multiLevelType w:val="multilevel"/>
    <w:tmpl w:val="549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67A66"/>
    <w:multiLevelType w:val="multilevel"/>
    <w:tmpl w:val="C26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stylePaneFormatFilter w:val="1F08"/>
  <w:defaultTabStop w:val="720"/>
  <w:hyphenationZone w:val="425"/>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C04D18"/>
    <w:rsid w:val="000003D6"/>
    <w:rsid w:val="00001CA9"/>
    <w:rsid w:val="000174AA"/>
    <w:rsid w:val="0006207B"/>
    <w:rsid w:val="00091374"/>
    <w:rsid w:val="000A33E2"/>
    <w:rsid w:val="000D1BEF"/>
    <w:rsid w:val="00102B75"/>
    <w:rsid w:val="00143D68"/>
    <w:rsid w:val="00176A8A"/>
    <w:rsid w:val="00191ABE"/>
    <w:rsid w:val="00192D6B"/>
    <w:rsid w:val="001B28F3"/>
    <w:rsid w:val="001B4C9C"/>
    <w:rsid w:val="00205EA4"/>
    <w:rsid w:val="002147DE"/>
    <w:rsid w:val="00217CCB"/>
    <w:rsid w:val="002508F5"/>
    <w:rsid w:val="0025379A"/>
    <w:rsid w:val="0026543E"/>
    <w:rsid w:val="00296BAF"/>
    <w:rsid w:val="002B5ED2"/>
    <w:rsid w:val="002C34AA"/>
    <w:rsid w:val="002C52DF"/>
    <w:rsid w:val="002C6D73"/>
    <w:rsid w:val="002D1C1C"/>
    <w:rsid w:val="002E0928"/>
    <w:rsid w:val="002E693E"/>
    <w:rsid w:val="00304914"/>
    <w:rsid w:val="00323A72"/>
    <w:rsid w:val="003A220A"/>
    <w:rsid w:val="003C1F83"/>
    <w:rsid w:val="003E1BE3"/>
    <w:rsid w:val="003E22D0"/>
    <w:rsid w:val="003E3B09"/>
    <w:rsid w:val="003E5615"/>
    <w:rsid w:val="00404876"/>
    <w:rsid w:val="00412B08"/>
    <w:rsid w:val="004409F9"/>
    <w:rsid w:val="0045042F"/>
    <w:rsid w:val="004532DF"/>
    <w:rsid w:val="004541CF"/>
    <w:rsid w:val="00457D85"/>
    <w:rsid w:val="00467991"/>
    <w:rsid w:val="00476907"/>
    <w:rsid w:val="004C70D3"/>
    <w:rsid w:val="00506477"/>
    <w:rsid w:val="005563BC"/>
    <w:rsid w:val="00563624"/>
    <w:rsid w:val="00573D5D"/>
    <w:rsid w:val="00576AF1"/>
    <w:rsid w:val="00584D87"/>
    <w:rsid w:val="00595296"/>
    <w:rsid w:val="005B694F"/>
    <w:rsid w:val="005D6804"/>
    <w:rsid w:val="005F2562"/>
    <w:rsid w:val="00614B67"/>
    <w:rsid w:val="006334D0"/>
    <w:rsid w:val="00644039"/>
    <w:rsid w:val="00672D41"/>
    <w:rsid w:val="006A2A96"/>
    <w:rsid w:val="006B3E9D"/>
    <w:rsid w:val="006C7D4F"/>
    <w:rsid w:val="006D2C63"/>
    <w:rsid w:val="006F0ABD"/>
    <w:rsid w:val="0070280B"/>
    <w:rsid w:val="007208F9"/>
    <w:rsid w:val="00722099"/>
    <w:rsid w:val="00722CB9"/>
    <w:rsid w:val="00744BB7"/>
    <w:rsid w:val="00755E59"/>
    <w:rsid w:val="007744FA"/>
    <w:rsid w:val="00784588"/>
    <w:rsid w:val="007A0571"/>
    <w:rsid w:val="007A2C99"/>
    <w:rsid w:val="007C5CCB"/>
    <w:rsid w:val="007D0ECA"/>
    <w:rsid w:val="007D478D"/>
    <w:rsid w:val="007D4C55"/>
    <w:rsid w:val="007D50B3"/>
    <w:rsid w:val="007E0E17"/>
    <w:rsid w:val="0081369D"/>
    <w:rsid w:val="00820C79"/>
    <w:rsid w:val="0082307B"/>
    <w:rsid w:val="00844864"/>
    <w:rsid w:val="0085281C"/>
    <w:rsid w:val="00887FC4"/>
    <w:rsid w:val="00893503"/>
    <w:rsid w:val="0089641A"/>
    <w:rsid w:val="008A2E7E"/>
    <w:rsid w:val="008D4627"/>
    <w:rsid w:val="008E09E5"/>
    <w:rsid w:val="008F39EF"/>
    <w:rsid w:val="00923B74"/>
    <w:rsid w:val="009A3876"/>
    <w:rsid w:val="009C25A4"/>
    <w:rsid w:val="009C783F"/>
    <w:rsid w:val="009D41D5"/>
    <w:rsid w:val="009F41AE"/>
    <w:rsid w:val="00A04B6B"/>
    <w:rsid w:val="00A23E05"/>
    <w:rsid w:val="00A3190A"/>
    <w:rsid w:val="00A5166D"/>
    <w:rsid w:val="00A8614C"/>
    <w:rsid w:val="00AB7105"/>
    <w:rsid w:val="00AD22F7"/>
    <w:rsid w:val="00AE0852"/>
    <w:rsid w:val="00AE5E93"/>
    <w:rsid w:val="00B07A0B"/>
    <w:rsid w:val="00B62537"/>
    <w:rsid w:val="00B90EC6"/>
    <w:rsid w:val="00BB4C5E"/>
    <w:rsid w:val="00BD6C81"/>
    <w:rsid w:val="00BE2D80"/>
    <w:rsid w:val="00C04D18"/>
    <w:rsid w:val="00C07876"/>
    <w:rsid w:val="00C10A17"/>
    <w:rsid w:val="00C30CD8"/>
    <w:rsid w:val="00C431B5"/>
    <w:rsid w:val="00C621BE"/>
    <w:rsid w:val="00C64D27"/>
    <w:rsid w:val="00C75E59"/>
    <w:rsid w:val="00C85093"/>
    <w:rsid w:val="00C922A8"/>
    <w:rsid w:val="00C92652"/>
    <w:rsid w:val="00C979F8"/>
    <w:rsid w:val="00CD0272"/>
    <w:rsid w:val="00CE2E08"/>
    <w:rsid w:val="00D0279E"/>
    <w:rsid w:val="00D30780"/>
    <w:rsid w:val="00D3457D"/>
    <w:rsid w:val="00D91E13"/>
    <w:rsid w:val="00DA16F5"/>
    <w:rsid w:val="00E11DFB"/>
    <w:rsid w:val="00E14537"/>
    <w:rsid w:val="00E1475A"/>
    <w:rsid w:val="00E313CA"/>
    <w:rsid w:val="00E33107"/>
    <w:rsid w:val="00E51C37"/>
    <w:rsid w:val="00E5212D"/>
    <w:rsid w:val="00E77A5D"/>
    <w:rsid w:val="00EA32E2"/>
    <w:rsid w:val="00EB1316"/>
    <w:rsid w:val="00EB438D"/>
    <w:rsid w:val="00EC2B50"/>
    <w:rsid w:val="00ED5448"/>
    <w:rsid w:val="00EE4EDC"/>
    <w:rsid w:val="00F139E3"/>
    <w:rsid w:val="00F4557F"/>
    <w:rsid w:val="00F7211C"/>
    <w:rsid w:val="00F72171"/>
    <w:rsid w:val="00F81F3A"/>
    <w:rsid w:val="00F823E9"/>
    <w:rsid w:val="00F867F9"/>
    <w:rsid w:val="00FD524B"/>
    <w:rsid w:val="00FE3C15"/>
    <w:rsid w:val="00FE5D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ntrevista com..."/>
    <w:qFormat/>
    <w:rsid w:val="00573D5D"/>
    <w:pPr>
      <w:spacing w:line="320" w:lineRule="exact"/>
    </w:pPr>
    <w:rPr>
      <w:rFonts w:ascii="Gill Sans" w:hAnsi="Gill Sans"/>
    </w:rPr>
  </w:style>
  <w:style w:type="paragraph" w:styleId="Ttulo1">
    <w:name w:val="heading 1"/>
    <w:basedOn w:val="Normal"/>
    <w:next w:val="Normal"/>
    <w:link w:val="Ttulo1Char"/>
    <w:qFormat/>
    <w:rsid w:val="00E77A5D"/>
    <w:pPr>
      <w:keepNext/>
      <w:spacing w:before="240" w:after="60"/>
      <w:outlineLvl w:val="0"/>
    </w:pPr>
    <w:rPr>
      <w:rFonts w:ascii="Cambria" w:eastAsia="Times New Roman" w:hAnsi="Cambria" w:cs="Times New Roman"/>
      <w:b/>
      <w:bCs/>
      <w:kern w:val="32"/>
      <w:sz w:val="32"/>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autoRedefine/>
    <w:qFormat/>
    <w:rsid w:val="00AE0852"/>
    <w:pPr>
      <w:spacing w:line="360" w:lineRule="exact"/>
    </w:pPr>
    <w:rPr>
      <w:rFonts w:ascii="Gill Sans Light" w:hAnsi="Gill Sans Light"/>
      <w:sz w:val="28"/>
      <w:lang w:eastAsia="ar-SA"/>
    </w:rPr>
  </w:style>
  <w:style w:type="paragraph" w:customStyle="1" w:styleId="autordata">
    <w:name w:val="autor/data"/>
    <w:basedOn w:val="ttulo10"/>
    <w:autoRedefine/>
    <w:qFormat/>
    <w:rsid w:val="00AE0852"/>
    <w:rPr>
      <w:rFonts w:ascii="Gill Sans" w:hAnsi="Gill Sans"/>
      <w:sz w:val="16"/>
    </w:rPr>
  </w:style>
  <w:style w:type="paragraph" w:customStyle="1" w:styleId="bio">
    <w:name w:val="bio"/>
    <w:basedOn w:val="autordata"/>
    <w:autoRedefine/>
    <w:qFormat/>
    <w:rsid w:val="00744BB7"/>
    <w:pPr>
      <w:spacing w:line="320" w:lineRule="exact"/>
      <w:jc w:val="both"/>
    </w:pPr>
    <w:rPr>
      <w:b/>
      <w:sz w:val="24"/>
      <w:lang w:val="pt-BR"/>
    </w:rPr>
  </w:style>
  <w:style w:type="paragraph" w:customStyle="1" w:styleId="pergunta">
    <w:name w:val="pergunta"/>
    <w:basedOn w:val="Normal"/>
    <w:autoRedefine/>
    <w:qFormat/>
    <w:rsid w:val="00EB1316"/>
    <w:pPr>
      <w:spacing w:before="320" w:after="120"/>
      <w:jc w:val="both"/>
    </w:pPr>
    <w:rPr>
      <w:rFonts w:ascii="Gill Sans MT" w:hAnsi="Gill Sans MT"/>
      <w:b/>
      <w:color w:val="004900"/>
    </w:rPr>
  </w:style>
  <w:style w:type="paragraph" w:customStyle="1" w:styleId="textocentral">
    <w:name w:val="texto central"/>
    <w:basedOn w:val="Normal"/>
    <w:autoRedefine/>
    <w:qFormat/>
    <w:rsid w:val="00EE4EDC"/>
    <w:pPr>
      <w:jc w:val="both"/>
    </w:pPr>
  </w:style>
  <w:style w:type="character" w:customStyle="1" w:styleId="Ttulo1Char">
    <w:name w:val="Título 1 Char"/>
    <w:basedOn w:val="Fontepargpadro"/>
    <w:link w:val="Ttulo1"/>
    <w:rsid w:val="00E77A5D"/>
    <w:rPr>
      <w:rFonts w:ascii="Cambria" w:eastAsia="Times New Roman" w:hAnsi="Cambria" w:cs="Times New Roman"/>
      <w:b/>
      <w:bCs/>
      <w:kern w:val="32"/>
      <w:sz w:val="32"/>
      <w:szCs w:val="32"/>
      <w:lang w:val="pt-BR" w:eastAsia="pt-BR"/>
    </w:rPr>
  </w:style>
  <w:style w:type="paragraph" w:styleId="Textodenotaderodap">
    <w:name w:val="footnote text"/>
    <w:aliases w:val="Nota de pé de página"/>
    <w:basedOn w:val="Normal"/>
    <w:link w:val="TextodenotaderodapChar"/>
    <w:autoRedefine/>
    <w:uiPriority w:val="99"/>
    <w:rsid w:val="000003D6"/>
    <w:pPr>
      <w:spacing w:after="120" w:line="240" w:lineRule="exact"/>
      <w:jc w:val="both"/>
    </w:pPr>
    <w:rPr>
      <w:rFonts w:eastAsia="Times New Roman" w:cs="Times New Roman"/>
      <w:sz w:val="20"/>
      <w:szCs w:val="20"/>
      <w:lang w:val="pt-BR" w:eastAsia="pt-BR"/>
    </w:rPr>
  </w:style>
  <w:style w:type="character" w:customStyle="1" w:styleId="TextodenotaderodapChar">
    <w:name w:val="Texto de nota de rodapé Char"/>
    <w:aliases w:val="Nota de pé de página Char"/>
    <w:basedOn w:val="Fontepargpadro"/>
    <w:link w:val="Textodenotaderodap"/>
    <w:uiPriority w:val="99"/>
    <w:rsid w:val="000003D6"/>
    <w:rPr>
      <w:rFonts w:ascii="Gill Sans" w:eastAsia="Times New Roman" w:hAnsi="Gill Sans" w:cs="Times New Roman"/>
      <w:sz w:val="20"/>
      <w:szCs w:val="20"/>
      <w:lang w:val="pt-BR" w:eastAsia="pt-BR"/>
    </w:rPr>
  </w:style>
  <w:style w:type="character" w:styleId="Refdenotaderodap">
    <w:name w:val="footnote reference"/>
    <w:uiPriority w:val="99"/>
    <w:rsid w:val="00E77A5D"/>
    <w:rPr>
      <w:vertAlign w:val="superscript"/>
    </w:rPr>
  </w:style>
  <w:style w:type="paragraph" w:styleId="NormalWeb">
    <w:name w:val="Normal (Web)"/>
    <w:basedOn w:val="Normal"/>
    <w:uiPriority w:val="99"/>
    <w:unhideWhenUsed/>
    <w:rsid w:val="00E77A5D"/>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uiPriority w:val="99"/>
    <w:unhideWhenUsed/>
    <w:rsid w:val="00E77A5D"/>
    <w:rPr>
      <w:color w:val="0000FF"/>
      <w:u w:val="single"/>
    </w:rPr>
  </w:style>
  <w:style w:type="paragraph" w:styleId="Commarcadores">
    <w:name w:val="List Bullet"/>
    <w:basedOn w:val="Normal"/>
    <w:rsid w:val="00E77A5D"/>
    <w:pPr>
      <w:numPr>
        <w:numId w:val="1"/>
      </w:numPr>
      <w:contextualSpacing/>
    </w:pPr>
    <w:rPr>
      <w:rFonts w:ascii="Times New Roman" w:eastAsia="Times New Roman" w:hAnsi="Times New Roman" w:cs="Times New Roman"/>
      <w:lang w:val="pt-BR" w:eastAsia="pt-BR"/>
    </w:rPr>
  </w:style>
  <w:style w:type="character" w:styleId="nfase">
    <w:name w:val="Emphasis"/>
    <w:uiPriority w:val="20"/>
    <w:qFormat/>
    <w:rsid w:val="00E77A5D"/>
    <w:rPr>
      <w:i/>
      <w:iCs/>
    </w:rPr>
  </w:style>
  <w:style w:type="character" w:customStyle="1" w:styleId="subtitulo">
    <w:name w:val="subtitulo"/>
    <w:basedOn w:val="Fontepargpadro"/>
    <w:rsid w:val="0081369D"/>
    <w:rPr>
      <w:rFonts w:ascii="Gill Sans" w:hAnsi="Gill Sans"/>
      <w:sz w:val="22"/>
    </w:rPr>
  </w:style>
  <w:style w:type="character" w:customStyle="1" w:styleId="spipsurligne">
    <w:name w:val="spip_surligne"/>
    <w:basedOn w:val="Fontepargpadro"/>
    <w:rsid w:val="00E77A5D"/>
  </w:style>
  <w:style w:type="paragraph" w:styleId="Textodenotadefim">
    <w:name w:val="endnote text"/>
    <w:basedOn w:val="Normal"/>
    <w:link w:val="TextodenotadefimChar"/>
    <w:rsid w:val="00E77A5D"/>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E77A5D"/>
    <w:rPr>
      <w:rFonts w:ascii="Times New Roman" w:eastAsia="Times New Roman" w:hAnsi="Times New Roman" w:cs="Times New Roman"/>
      <w:sz w:val="20"/>
      <w:szCs w:val="20"/>
      <w:lang w:val="pt-BR" w:eastAsia="pt-BR"/>
    </w:rPr>
  </w:style>
  <w:style w:type="character" w:styleId="HiperlinkVisitado">
    <w:name w:val="FollowedHyperlink"/>
    <w:basedOn w:val="Fontepargpadro"/>
    <w:uiPriority w:val="99"/>
    <w:semiHidden/>
    <w:unhideWhenUsed/>
    <w:rsid w:val="005563BC"/>
    <w:rPr>
      <w:color w:val="800080" w:themeColor="followedHyperlink"/>
      <w:u w:val="single"/>
    </w:rPr>
  </w:style>
  <w:style w:type="character" w:styleId="Nmerodepgina">
    <w:name w:val="page number"/>
    <w:basedOn w:val="Fontepargpadro"/>
    <w:uiPriority w:val="99"/>
    <w:semiHidden/>
    <w:unhideWhenUsed/>
    <w:rsid w:val="006F0ABD"/>
    <w:rPr>
      <w:rFonts w:ascii="Gill Sans" w:hAnsi="Gill Sans"/>
      <w:sz w:val="18"/>
    </w:rPr>
  </w:style>
  <w:style w:type="paragraph" w:styleId="Textodebalo">
    <w:name w:val="Balloon Text"/>
    <w:basedOn w:val="Normal"/>
    <w:link w:val="TextodebaloChar"/>
    <w:uiPriority w:val="99"/>
    <w:semiHidden/>
    <w:unhideWhenUsed/>
    <w:rsid w:val="00C922A8"/>
    <w:rPr>
      <w:rFonts w:ascii="Lucida Grande" w:hAnsi="Lucida Grande"/>
      <w:sz w:val="18"/>
      <w:szCs w:val="18"/>
    </w:rPr>
  </w:style>
  <w:style w:type="character" w:customStyle="1" w:styleId="TextodebaloChar">
    <w:name w:val="Texto de balão Char"/>
    <w:basedOn w:val="Fontepargpadro"/>
    <w:link w:val="Textodebalo"/>
    <w:uiPriority w:val="99"/>
    <w:semiHidden/>
    <w:rsid w:val="00C922A8"/>
    <w:rPr>
      <w:rFonts w:ascii="Lucida Grande" w:hAnsi="Lucida Grande"/>
      <w:sz w:val="18"/>
      <w:szCs w:val="18"/>
    </w:rPr>
  </w:style>
  <w:style w:type="paragraph" w:styleId="Cabealho">
    <w:name w:val="header"/>
    <w:aliases w:val="Header/footer,header/footer"/>
    <w:basedOn w:val="Normal"/>
    <w:link w:val="CabealhoChar"/>
    <w:uiPriority w:val="99"/>
    <w:unhideWhenUsed/>
    <w:rsid w:val="00AD22F7"/>
    <w:pPr>
      <w:tabs>
        <w:tab w:val="center" w:pos="4320"/>
        <w:tab w:val="right" w:pos="8640"/>
      </w:tabs>
    </w:pPr>
    <w:rPr>
      <w:color w:val="A6A6A6" w:themeColor="background1" w:themeShade="A6"/>
      <w:sz w:val="16"/>
      <w:szCs w:val="16"/>
    </w:rPr>
  </w:style>
  <w:style w:type="character" w:customStyle="1" w:styleId="CabealhoChar">
    <w:name w:val="Cabeçalho Char"/>
    <w:aliases w:val="Header/footer Char,header/footer Char"/>
    <w:basedOn w:val="Fontepargpadro"/>
    <w:link w:val="Cabealho"/>
    <w:uiPriority w:val="99"/>
    <w:rsid w:val="00AD22F7"/>
    <w:rPr>
      <w:rFonts w:ascii="Gill Sans" w:hAnsi="Gill Sans"/>
      <w:color w:val="A6A6A6" w:themeColor="background1" w:themeShade="A6"/>
      <w:sz w:val="16"/>
      <w:szCs w:val="16"/>
    </w:rPr>
  </w:style>
  <w:style w:type="paragraph" w:styleId="Rodap">
    <w:name w:val="footer"/>
    <w:basedOn w:val="Normal"/>
    <w:link w:val="RodapChar"/>
    <w:uiPriority w:val="99"/>
    <w:unhideWhenUsed/>
    <w:rsid w:val="00AD22F7"/>
    <w:pPr>
      <w:tabs>
        <w:tab w:val="center" w:pos="4320"/>
        <w:tab w:val="right" w:pos="8640"/>
      </w:tabs>
    </w:pPr>
  </w:style>
  <w:style w:type="character" w:customStyle="1" w:styleId="RodapChar">
    <w:name w:val="Rodapé Char"/>
    <w:basedOn w:val="Fontepargpadro"/>
    <w:link w:val="Rodap"/>
    <w:uiPriority w:val="99"/>
    <w:rsid w:val="00AD22F7"/>
    <w:rPr>
      <w:rFonts w:ascii="Gill Sans" w:hAnsi="Gill Sans"/>
    </w:rPr>
  </w:style>
  <w:style w:type="paragraph" w:customStyle="1" w:styleId="Header1">
    <w:name w:val="Header1"/>
    <w:basedOn w:val="Normal"/>
    <w:qFormat/>
    <w:rsid w:val="00AD22F7"/>
    <w:rPr>
      <w:rFonts w:cs="Gill Sans"/>
      <w:noProof/>
      <w:color w:val="A6A6A6" w:themeColor="background1" w:themeShade="A6"/>
      <w:sz w:val="16"/>
      <w:szCs w:val="16"/>
    </w:rPr>
  </w:style>
  <w:style w:type="paragraph" w:customStyle="1" w:styleId="epgrafe">
    <w:name w:val="epígrafe"/>
    <w:basedOn w:val="Normal"/>
    <w:qFormat/>
    <w:rsid w:val="00AE5E93"/>
    <w:pPr>
      <w:jc w:val="right"/>
    </w:pPr>
    <w:rPr>
      <w:i/>
      <w:sz w:val="20"/>
      <w:szCs w:val="20"/>
    </w:rPr>
  </w:style>
  <w:style w:type="paragraph" w:customStyle="1" w:styleId="Style1">
    <w:name w:val="Style1"/>
    <w:basedOn w:val="textocentral"/>
    <w:qFormat/>
    <w:rsid w:val="00923B74"/>
    <w:rPr>
      <w:i/>
      <w:iCs/>
      <w:sz w:val="22"/>
    </w:rPr>
  </w:style>
  <w:style w:type="paragraph" w:customStyle="1" w:styleId="Style10">
    <w:name w:val="Style1"/>
    <w:basedOn w:val="textocentral"/>
    <w:next w:val="Style1"/>
    <w:qFormat/>
    <w:rsid w:val="00923B74"/>
    <w:rPr>
      <w:i/>
      <w:iCs/>
    </w:rPr>
  </w:style>
  <w:style w:type="paragraph" w:customStyle="1" w:styleId="citao">
    <w:name w:val="citação"/>
    <w:basedOn w:val="textocentral"/>
    <w:qFormat/>
    <w:rsid w:val="00644039"/>
    <w:pPr>
      <w:ind w:left="720"/>
    </w:pPr>
    <w:rPr>
      <w:i/>
      <w:sz w:val="22"/>
    </w:rPr>
  </w:style>
  <w:style w:type="paragraph" w:customStyle="1" w:styleId="subttulo">
    <w:name w:val="subtítulo"/>
    <w:basedOn w:val="Normal"/>
    <w:qFormat/>
    <w:rsid w:val="0081369D"/>
    <w:rPr>
      <w:sz w:val="22"/>
      <w:szCs w:val="22"/>
    </w:rPr>
  </w:style>
  <w:style w:type="paragraph" w:customStyle="1" w:styleId="textobiblio">
    <w:name w:val="texto biblio"/>
    <w:basedOn w:val="textocentral"/>
    <w:autoRedefine/>
    <w:qFormat/>
    <w:rsid w:val="00EE4EDC"/>
    <w:pPr>
      <w:spacing w:after="240"/>
    </w:pPr>
    <w:rPr>
      <w:sz w:val="20"/>
    </w:rPr>
  </w:style>
  <w:style w:type="character" w:styleId="Forte">
    <w:name w:val="Strong"/>
    <w:basedOn w:val="Fontepargpadro"/>
    <w:uiPriority w:val="22"/>
    <w:qFormat/>
    <w:rsid w:val="00176A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ntrevista com..."/>
    <w:qFormat/>
    <w:rsid w:val="00573D5D"/>
    <w:pPr>
      <w:spacing w:line="320" w:lineRule="exact"/>
    </w:pPr>
    <w:rPr>
      <w:rFonts w:ascii="Gill Sans" w:hAnsi="Gill Sans"/>
    </w:rPr>
  </w:style>
  <w:style w:type="paragraph" w:styleId="Heading1">
    <w:name w:val="heading 1"/>
    <w:basedOn w:val="Normal"/>
    <w:next w:val="Normal"/>
    <w:link w:val="Heading1Char"/>
    <w:qFormat/>
    <w:rsid w:val="00E77A5D"/>
    <w:pPr>
      <w:keepNext/>
      <w:spacing w:before="240" w:after="60"/>
      <w:outlineLvl w:val="0"/>
    </w:pPr>
    <w:rPr>
      <w:rFonts w:ascii="Cambria" w:eastAsia="Times New Roman" w:hAnsi="Cambria" w:cs="Times New Roman"/>
      <w:b/>
      <w:bCs/>
      <w:kern w:val="32"/>
      <w:sz w:val="32"/>
      <w:szCs w:val="3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autoRedefine/>
    <w:qFormat/>
    <w:rsid w:val="00AE0852"/>
    <w:pPr>
      <w:spacing w:line="360" w:lineRule="exact"/>
    </w:pPr>
    <w:rPr>
      <w:rFonts w:ascii="Gill Sans Light" w:hAnsi="Gill Sans Light"/>
      <w:sz w:val="28"/>
      <w:lang w:eastAsia="ar-SA"/>
    </w:rPr>
  </w:style>
  <w:style w:type="paragraph" w:customStyle="1" w:styleId="autordata">
    <w:name w:val="autor/data"/>
    <w:basedOn w:val="ttulo1"/>
    <w:autoRedefine/>
    <w:qFormat/>
    <w:rsid w:val="00AE0852"/>
    <w:rPr>
      <w:rFonts w:ascii="Gill Sans" w:hAnsi="Gill Sans"/>
      <w:sz w:val="16"/>
    </w:rPr>
  </w:style>
  <w:style w:type="paragraph" w:customStyle="1" w:styleId="bio">
    <w:name w:val="bio"/>
    <w:basedOn w:val="autordata"/>
    <w:autoRedefine/>
    <w:qFormat/>
    <w:rsid w:val="000003D6"/>
    <w:pPr>
      <w:spacing w:line="320" w:lineRule="exact"/>
      <w:jc w:val="both"/>
    </w:pPr>
    <w:rPr>
      <w:sz w:val="20"/>
    </w:rPr>
  </w:style>
  <w:style w:type="paragraph" w:customStyle="1" w:styleId="pergunta">
    <w:name w:val="pergunta"/>
    <w:basedOn w:val="Normal"/>
    <w:autoRedefine/>
    <w:qFormat/>
    <w:rsid w:val="00EB1316"/>
    <w:pPr>
      <w:spacing w:before="320" w:after="120"/>
      <w:jc w:val="both"/>
    </w:pPr>
    <w:rPr>
      <w:rFonts w:ascii="Gill Sans MT" w:hAnsi="Gill Sans MT"/>
      <w:b/>
      <w:color w:val="004900"/>
    </w:rPr>
  </w:style>
  <w:style w:type="paragraph" w:customStyle="1" w:styleId="textocentral">
    <w:name w:val="texto central"/>
    <w:basedOn w:val="Normal"/>
    <w:autoRedefine/>
    <w:qFormat/>
    <w:rsid w:val="00EE4EDC"/>
    <w:pPr>
      <w:jc w:val="both"/>
    </w:pPr>
  </w:style>
  <w:style w:type="character" w:customStyle="1" w:styleId="Heading1Char">
    <w:name w:val="Heading 1 Char"/>
    <w:basedOn w:val="DefaultParagraphFont"/>
    <w:link w:val="Heading1"/>
    <w:rsid w:val="00E77A5D"/>
    <w:rPr>
      <w:rFonts w:ascii="Cambria" w:eastAsia="Times New Roman" w:hAnsi="Cambria" w:cs="Times New Roman"/>
      <w:b/>
      <w:bCs/>
      <w:kern w:val="32"/>
      <w:sz w:val="32"/>
      <w:szCs w:val="32"/>
      <w:lang w:val="pt-BR" w:eastAsia="pt-BR"/>
    </w:rPr>
  </w:style>
  <w:style w:type="paragraph" w:styleId="FootnoteText">
    <w:name w:val="footnote text"/>
    <w:aliases w:val="Nota de pé de página"/>
    <w:basedOn w:val="Normal"/>
    <w:link w:val="FootnoteTextChar"/>
    <w:autoRedefine/>
    <w:rsid w:val="000003D6"/>
    <w:pPr>
      <w:spacing w:after="120" w:line="240" w:lineRule="exact"/>
      <w:jc w:val="both"/>
    </w:pPr>
    <w:rPr>
      <w:rFonts w:eastAsia="Times New Roman" w:cs="Times New Roman"/>
      <w:sz w:val="20"/>
      <w:szCs w:val="20"/>
      <w:lang w:val="pt-BR" w:eastAsia="pt-BR"/>
    </w:rPr>
  </w:style>
  <w:style w:type="character" w:customStyle="1" w:styleId="FootnoteTextChar">
    <w:name w:val="Footnote Text Char"/>
    <w:aliases w:val="Nota de pé de página Char"/>
    <w:basedOn w:val="DefaultParagraphFont"/>
    <w:link w:val="FootnoteText"/>
    <w:rsid w:val="000003D6"/>
    <w:rPr>
      <w:rFonts w:ascii="Gill Sans" w:eastAsia="Times New Roman" w:hAnsi="Gill Sans" w:cs="Times New Roman"/>
      <w:sz w:val="20"/>
      <w:szCs w:val="20"/>
      <w:lang w:val="pt-BR" w:eastAsia="pt-BR"/>
    </w:rPr>
  </w:style>
  <w:style w:type="character" w:styleId="FootnoteReference">
    <w:name w:val="footnote reference"/>
    <w:rsid w:val="00E77A5D"/>
    <w:rPr>
      <w:vertAlign w:val="superscript"/>
    </w:rPr>
  </w:style>
  <w:style w:type="paragraph" w:styleId="NormalWeb">
    <w:name w:val="Normal (Web)"/>
    <w:basedOn w:val="Normal"/>
    <w:uiPriority w:val="99"/>
    <w:unhideWhenUsed/>
    <w:rsid w:val="00E77A5D"/>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uiPriority w:val="99"/>
    <w:unhideWhenUsed/>
    <w:rsid w:val="00E77A5D"/>
    <w:rPr>
      <w:color w:val="0000FF"/>
      <w:u w:val="single"/>
    </w:rPr>
  </w:style>
  <w:style w:type="paragraph" w:styleId="ListBullet">
    <w:name w:val="List Bullet"/>
    <w:basedOn w:val="Normal"/>
    <w:rsid w:val="00E77A5D"/>
    <w:pPr>
      <w:numPr>
        <w:numId w:val="1"/>
      </w:numPr>
      <w:contextualSpacing/>
    </w:pPr>
    <w:rPr>
      <w:rFonts w:ascii="Times New Roman" w:eastAsia="Times New Roman" w:hAnsi="Times New Roman" w:cs="Times New Roman"/>
      <w:lang w:val="pt-BR" w:eastAsia="pt-BR"/>
    </w:rPr>
  </w:style>
  <w:style w:type="character" w:styleId="Emphasis">
    <w:name w:val="Emphasis"/>
    <w:uiPriority w:val="20"/>
    <w:qFormat/>
    <w:rsid w:val="00E77A5D"/>
    <w:rPr>
      <w:i/>
      <w:iCs/>
    </w:rPr>
  </w:style>
  <w:style w:type="character" w:customStyle="1" w:styleId="subtitulo">
    <w:name w:val="subtitulo"/>
    <w:basedOn w:val="DefaultParagraphFont"/>
    <w:rsid w:val="0081369D"/>
    <w:rPr>
      <w:rFonts w:ascii="Gill Sans" w:hAnsi="Gill Sans"/>
      <w:sz w:val="22"/>
    </w:rPr>
  </w:style>
  <w:style w:type="character" w:customStyle="1" w:styleId="spipsurligne">
    <w:name w:val="spip_surligne"/>
    <w:basedOn w:val="DefaultParagraphFont"/>
    <w:rsid w:val="00E77A5D"/>
  </w:style>
  <w:style w:type="paragraph" w:styleId="EndnoteText">
    <w:name w:val="endnote text"/>
    <w:basedOn w:val="Normal"/>
    <w:link w:val="EndnoteTextChar"/>
    <w:rsid w:val="00E77A5D"/>
    <w:rPr>
      <w:rFonts w:ascii="Times New Roman" w:eastAsia="Times New Roman" w:hAnsi="Times New Roman" w:cs="Times New Roman"/>
      <w:sz w:val="20"/>
      <w:szCs w:val="20"/>
      <w:lang w:val="pt-BR" w:eastAsia="pt-BR"/>
    </w:rPr>
  </w:style>
  <w:style w:type="character" w:customStyle="1" w:styleId="EndnoteTextChar">
    <w:name w:val="Endnote Text Char"/>
    <w:basedOn w:val="DefaultParagraphFont"/>
    <w:link w:val="EndnoteText"/>
    <w:rsid w:val="00E77A5D"/>
    <w:rPr>
      <w:rFonts w:ascii="Times New Roman" w:eastAsia="Times New Roman" w:hAnsi="Times New Roman" w:cs="Times New Roman"/>
      <w:sz w:val="20"/>
      <w:szCs w:val="20"/>
      <w:lang w:val="pt-BR" w:eastAsia="pt-BR"/>
    </w:rPr>
  </w:style>
  <w:style w:type="character" w:styleId="FollowedHyperlink">
    <w:name w:val="FollowedHyperlink"/>
    <w:basedOn w:val="DefaultParagraphFont"/>
    <w:uiPriority w:val="99"/>
    <w:semiHidden/>
    <w:unhideWhenUsed/>
    <w:rsid w:val="005563BC"/>
    <w:rPr>
      <w:color w:val="800080" w:themeColor="followedHyperlink"/>
      <w:u w:val="single"/>
    </w:rPr>
  </w:style>
  <w:style w:type="character" w:styleId="PageNumber">
    <w:name w:val="page number"/>
    <w:basedOn w:val="DefaultParagraphFont"/>
    <w:uiPriority w:val="99"/>
    <w:semiHidden/>
    <w:unhideWhenUsed/>
    <w:rsid w:val="006F0ABD"/>
    <w:rPr>
      <w:rFonts w:ascii="Gill Sans" w:hAnsi="Gill Sans"/>
      <w:sz w:val="18"/>
    </w:rPr>
  </w:style>
  <w:style w:type="paragraph" w:styleId="BalloonText">
    <w:name w:val="Balloon Text"/>
    <w:basedOn w:val="Normal"/>
    <w:link w:val="BalloonTextChar"/>
    <w:uiPriority w:val="99"/>
    <w:semiHidden/>
    <w:unhideWhenUsed/>
    <w:rsid w:val="00C922A8"/>
    <w:rPr>
      <w:rFonts w:ascii="Lucida Grande" w:hAnsi="Lucida Grande"/>
      <w:sz w:val="18"/>
      <w:szCs w:val="18"/>
    </w:rPr>
  </w:style>
  <w:style w:type="character" w:customStyle="1" w:styleId="BalloonTextChar">
    <w:name w:val="Balloon Text Char"/>
    <w:basedOn w:val="DefaultParagraphFont"/>
    <w:link w:val="BalloonText"/>
    <w:uiPriority w:val="99"/>
    <w:semiHidden/>
    <w:rsid w:val="00C922A8"/>
    <w:rPr>
      <w:rFonts w:ascii="Lucida Grande" w:hAnsi="Lucida Grande"/>
      <w:sz w:val="18"/>
      <w:szCs w:val="18"/>
    </w:rPr>
  </w:style>
  <w:style w:type="paragraph" w:styleId="Header">
    <w:name w:val="header"/>
    <w:aliases w:val="Header/footer,header/footer"/>
    <w:basedOn w:val="Normal"/>
    <w:link w:val="HeaderChar"/>
    <w:unhideWhenUsed/>
    <w:rsid w:val="00AD22F7"/>
    <w:pPr>
      <w:tabs>
        <w:tab w:val="center" w:pos="4320"/>
        <w:tab w:val="right" w:pos="8640"/>
      </w:tabs>
    </w:pPr>
    <w:rPr>
      <w:color w:val="A6A6A6" w:themeColor="background1" w:themeShade="A6"/>
      <w:sz w:val="16"/>
      <w:szCs w:val="16"/>
    </w:rPr>
  </w:style>
  <w:style w:type="character" w:customStyle="1" w:styleId="HeaderChar">
    <w:name w:val="Header Char"/>
    <w:aliases w:val="Header/footer Char,header/footer Char"/>
    <w:basedOn w:val="DefaultParagraphFont"/>
    <w:link w:val="Header"/>
    <w:rsid w:val="00AD22F7"/>
    <w:rPr>
      <w:rFonts w:ascii="Gill Sans" w:hAnsi="Gill Sans"/>
      <w:color w:val="A6A6A6" w:themeColor="background1" w:themeShade="A6"/>
      <w:sz w:val="16"/>
      <w:szCs w:val="16"/>
    </w:rPr>
  </w:style>
  <w:style w:type="paragraph" w:styleId="Footer">
    <w:name w:val="footer"/>
    <w:basedOn w:val="Normal"/>
    <w:link w:val="FooterChar"/>
    <w:uiPriority w:val="99"/>
    <w:unhideWhenUsed/>
    <w:rsid w:val="00AD22F7"/>
    <w:pPr>
      <w:tabs>
        <w:tab w:val="center" w:pos="4320"/>
        <w:tab w:val="right" w:pos="8640"/>
      </w:tabs>
    </w:pPr>
  </w:style>
  <w:style w:type="character" w:customStyle="1" w:styleId="FooterChar">
    <w:name w:val="Footer Char"/>
    <w:basedOn w:val="DefaultParagraphFont"/>
    <w:link w:val="Footer"/>
    <w:uiPriority w:val="99"/>
    <w:rsid w:val="00AD22F7"/>
    <w:rPr>
      <w:rFonts w:ascii="Gill Sans" w:hAnsi="Gill Sans"/>
    </w:rPr>
  </w:style>
  <w:style w:type="paragraph" w:customStyle="1" w:styleId="Header1">
    <w:name w:val="Header1"/>
    <w:basedOn w:val="Normal"/>
    <w:qFormat/>
    <w:rsid w:val="00AD22F7"/>
    <w:rPr>
      <w:rFonts w:cs="Gill Sans"/>
      <w:noProof/>
      <w:color w:val="A6A6A6" w:themeColor="background1" w:themeShade="A6"/>
      <w:sz w:val="16"/>
      <w:szCs w:val="16"/>
    </w:rPr>
  </w:style>
  <w:style w:type="paragraph" w:customStyle="1" w:styleId="epgrafe">
    <w:name w:val="epígrafe"/>
    <w:basedOn w:val="Normal"/>
    <w:qFormat/>
    <w:rsid w:val="00AE5E93"/>
    <w:pPr>
      <w:jc w:val="right"/>
    </w:pPr>
    <w:rPr>
      <w:i/>
      <w:sz w:val="20"/>
      <w:szCs w:val="20"/>
    </w:rPr>
  </w:style>
  <w:style w:type="paragraph" w:customStyle="1" w:styleId="Style1">
    <w:name w:val="Style1"/>
    <w:basedOn w:val="textocentral"/>
    <w:qFormat/>
    <w:rsid w:val="00923B74"/>
    <w:rPr>
      <w:i/>
      <w:iCs/>
      <w:sz w:val="22"/>
    </w:rPr>
  </w:style>
  <w:style w:type="paragraph" w:customStyle="1" w:styleId="Style10">
    <w:name w:val="Style1"/>
    <w:basedOn w:val="textocentral"/>
    <w:next w:val="Style1"/>
    <w:qFormat/>
    <w:rsid w:val="00923B74"/>
    <w:rPr>
      <w:i/>
      <w:iCs/>
    </w:rPr>
  </w:style>
  <w:style w:type="paragraph" w:customStyle="1" w:styleId="citao">
    <w:name w:val="citação"/>
    <w:basedOn w:val="textocentral"/>
    <w:qFormat/>
    <w:rsid w:val="00644039"/>
    <w:pPr>
      <w:ind w:left="720"/>
    </w:pPr>
    <w:rPr>
      <w:i/>
      <w:sz w:val="22"/>
    </w:rPr>
  </w:style>
  <w:style w:type="paragraph" w:customStyle="1" w:styleId="subttulo">
    <w:name w:val="subtítulo"/>
    <w:basedOn w:val="Normal"/>
    <w:qFormat/>
    <w:rsid w:val="0081369D"/>
    <w:rPr>
      <w:sz w:val="22"/>
      <w:szCs w:val="22"/>
    </w:rPr>
  </w:style>
  <w:style w:type="paragraph" w:customStyle="1" w:styleId="textobiblio">
    <w:name w:val="texto biblio"/>
    <w:basedOn w:val="textocentral"/>
    <w:autoRedefine/>
    <w:qFormat/>
    <w:rsid w:val="00EE4EDC"/>
    <w:pPr>
      <w:spacing w:after="240"/>
    </w:pPr>
    <w:rPr>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abant.org.br/" TargetMode="External"/><Relationship Id="rId13" Type="http://schemas.openxmlformats.org/officeDocument/2006/relationships/hyperlink" Target="http://www.abep.org.br/" TargetMode="External"/><Relationship Id="rId18" Type="http://schemas.openxmlformats.org/officeDocument/2006/relationships/hyperlink" Target="http://www.cfemea.org.br/" TargetMode="External"/><Relationship Id="rId26" Type="http://schemas.openxmlformats.org/officeDocument/2006/relationships/hyperlink" Target="http://www.aads.org.br/wp/" TargetMode="External"/><Relationship Id="rId3" Type="http://schemas.openxmlformats.org/officeDocument/2006/relationships/settings" Target="settings.xml"/><Relationship Id="rId21" Type="http://schemas.openxmlformats.org/officeDocument/2006/relationships/hyperlink" Target="http://clam.org.br/" TargetMode="External"/><Relationship Id="rId34" Type="http://schemas.openxmlformats.org/officeDocument/2006/relationships/fontTable" Target="fontTable.xml"/><Relationship Id="rId7" Type="http://schemas.openxmlformats.org/officeDocument/2006/relationships/hyperlink" Target="http://www.portal.abant.org.br/" TargetMode="External"/><Relationship Id="rId12" Type="http://schemas.openxmlformats.org/officeDocument/2006/relationships/hyperlink" Target="http://abiaids.org.br/" TargetMode="External"/><Relationship Id="rId17" Type="http://schemas.openxmlformats.org/officeDocument/2006/relationships/hyperlink" Target="http://www.cfemea.org.br/" TargetMode="External"/><Relationship Id="rId25" Type="http://schemas.openxmlformats.org/officeDocument/2006/relationships/hyperlink" Target="http://www.aads.org.br/wp/"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rg.br/" TargetMode="External"/><Relationship Id="rId20" Type="http://schemas.openxmlformats.org/officeDocument/2006/relationships/hyperlink" Target="http://clam.org.br/" TargetMode="External"/><Relationship Id="rId29" Type="http://schemas.openxmlformats.org/officeDocument/2006/relationships/hyperlink" Target="http://sxpolitic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iaids.org.br/" TargetMode="External"/><Relationship Id="rId24" Type="http://schemas.openxmlformats.org/officeDocument/2006/relationships/hyperlink" Target="http://www.aads.org.br/w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bep.org.br/" TargetMode="External"/><Relationship Id="rId23" Type="http://schemas.openxmlformats.org/officeDocument/2006/relationships/hyperlink" Target="http://www.aads.org.br/wp/" TargetMode="External"/><Relationship Id="rId28" Type="http://schemas.openxmlformats.org/officeDocument/2006/relationships/hyperlink" Target="http://sxpolitics.org/" TargetMode="External"/><Relationship Id="rId36" Type="http://schemas.microsoft.com/office/2007/relationships/stylesWithEffects" Target="stylesWithEffects.xml"/><Relationship Id="rId10" Type="http://schemas.openxmlformats.org/officeDocument/2006/relationships/hyperlink" Target="http://abiaids.org.br/" TargetMode="External"/><Relationship Id="rId19" Type="http://schemas.openxmlformats.org/officeDocument/2006/relationships/hyperlink" Target="http://www.cfemea.org.b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abant.org.br/" TargetMode="External"/><Relationship Id="rId14" Type="http://schemas.openxmlformats.org/officeDocument/2006/relationships/hyperlink" Target="http://www.abep.org.br/" TargetMode="External"/><Relationship Id="rId22" Type="http://schemas.openxmlformats.org/officeDocument/2006/relationships/hyperlink" Target="http://clam.org.br/" TargetMode="External"/><Relationship Id="rId27" Type="http://schemas.openxmlformats.org/officeDocument/2006/relationships/hyperlink" Target="http://www.aads.org.br/wp/" TargetMode="External"/><Relationship Id="rId30" Type="http://schemas.openxmlformats.org/officeDocument/2006/relationships/hyperlink" Target="http://sxpolitics.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rasil.estadao.com.br/noticias/rio-de-janeiro,rio-registra-primeira-uniao-estavel-entre-3-mulheres,1781538" TargetMode="External"/><Relationship Id="rId1" Type="http://schemas.openxmlformats.org/officeDocument/2006/relationships/hyperlink" Target="http://www.stf.jus.br/portal/processo/verProcessoAndamento.asp?incidente=118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2816</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Nita Design</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Amendola</dc:creator>
  <cp:keywords/>
  <dc:description/>
  <cp:lastModifiedBy>fabio.grotz</cp:lastModifiedBy>
  <cp:revision>2</cp:revision>
  <cp:lastPrinted>2013-12-09T12:57:00Z</cp:lastPrinted>
  <dcterms:created xsi:type="dcterms:W3CDTF">2015-11-18T18:35:00Z</dcterms:created>
  <dcterms:modified xsi:type="dcterms:W3CDTF">2015-11-18T18:35:00Z</dcterms:modified>
</cp:coreProperties>
</file>